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C4B3" w14:textId="728FDFBD" w:rsidR="00CD34F6" w:rsidRDefault="00CD34F6"/>
    <w:p w14:paraId="14875843" w14:textId="2751CCE5" w:rsidR="00CD34F6" w:rsidRDefault="00CD34F6"/>
    <w:p w14:paraId="205E65C4" w14:textId="474C61D4" w:rsidR="00CD34F6" w:rsidRPr="0039431F" w:rsidRDefault="00CD34F6" w:rsidP="0039431F">
      <w:pPr>
        <w:rPr>
          <w:b/>
          <w:bCs/>
          <w:lang w:val="en-CA"/>
        </w:rPr>
      </w:pPr>
      <w:r w:rsidRPr="0039431F">
        <w:rPr>
          <w:b/>
          <w:bCs/>
          <w:lang w:val="en-CA"/>
        </w:rPr>
        <w:t>SBI – Item 9 - Reporting, Assessment and Review Mechanisms</w:t>
      </w:r>
    </w:p>
    <w:p w14:paraId="5851DACE" w14:textId="678EB166" w:rsidR="00CD34F6" w:rsidRDefault="174B9AE0" w:rsidP="00CD34F6">
      <w:pPr>
        <w:jc w:val="both"/>
        <w:rPr>
          <w:lang w:val="en-CA"/>
        </w:rPr>
      </w:pPr>
      <w:r w:rsidRPr="174B9AE0">
        <w:rPr>
          <w:lang w:val="en-CA"/>
        </w:rPr>
        <w:t xml:space="preserve"> </w:t>
      </w:r>
    </w:p>
    <w:p w14:paraId="6072C301" w14:textId="4D6D35BB" w:rsidR="00CD34F6" w:rsidRDefault="00CD34F6" w:rsidP="0039431F">
      <w:pPr>
        <w:rPr>
          <w:b/>
          <w:bCs/>
          <w:lang w:val="en-CA"/>
        </w:rPr>
      </w:pPr>
      <w:bookmarkStart w:id="0" w:name="_Hlk98824328"/>
      <w:r w:rsidRPr="0039431F">
        <w:rPr>
          <w:b/>
          <w:bCs/>
          <w:lang w:val="en-CA"/>
        </w:rPr>
        <w:t xml:space="preserve">CBD/SBI/3/11/Add.6 </w:t>
      </w:r>
      <w:bookmarkEnd w:id="0"/>
      <w:r w:rsidRPr="0039431F">
        <w:rPr>
          <w:b/>
          <w:bCs/>
          <w:lang w:val="en-CA"/>
        </w:rPr>
        <w:t>- COMMITMENTS FROM ACTORS OTHER THAN NATIONAL GOVERNMENTS IN THE CONTEXT OF AN ENHANCED PLANNING, MONITORING, REVIEW AND REPORTING MECHANISM</w:t>
      </w:r>
    </w:p>
    <w:p w14:paraId="71B3299D" w14:textId="01504E58" w:rsidR="0039431F" w:rsidRDefault="0039431F" w:rsidP="0039431F">
      <w:pPr>
        <w:rPr>
          <w:b/>
          <w:bCs/>
          <w:lang w:val="en-CA"/>
        </w:rPr>
      </w:pPr>
    </w:p>
    <w:p w14:paraId="00DA4570" w14:textId="26AAF4B9" w:rsidR="0039431F" w:rsidRPr="0039431F" w:rsidRDefault="0039431F" w:rsidP="0039431F">
      <w:pPr>
        <w:rPr>
          <w:b/>
          <w:bCs/>
          <w:lang w:val="en-CA"/>
        </w:rPr>
      </w:pPr>
      <w:r>
        <w:rPr>
          <w:b/>
          <w:bCs/>
          <w:lang w:val="en-CA"/>
        </w:rPr>
        <w:t>Comments by the Local and Subnational Major Group</w:t>
      </w:r>
      <w:r w:rsidR="0083415E">
        <w:rPr>
          <w:b/>
          <w:bCs/>
          <w:lang w:val="en-CA"/>
        </w:rPr>
        <w:t xml:space="preserve"> (LSNG)</w:t>
      </w:r>
    </w:p>
    <w:p w14:paraId="3EB22253" w14:textId="77777777" w:rsidR="00CD34F6" w:rsidRDefault="00CD34F6" w:rsidP="00CD34F6">
      <w:pPr>
        <w:jc w:val="both"/>
        <w:rPr>
          <w:lang w:val="en-CA"/>
        </w:rPr>
      </w:pPr>
    </w:p>
    <w:p w14:paraId="38DB5397" w14:textId="4D9B37E1" w:rsidR="00376FE6" w:rsidRDefault="00376FE6" w:rsidP="00E57C5E">
      <w:pPr>
        <w:spacing w:after="160" w:line="259" w:lineRule="auto"/>
        <w:jc w:val="both"/>
        <w:rPr>
          <w:lang w:val="en-CA"/>
        </w:rPr>
      </w:pPr>
      <w:r>
        <w:rPr>
          <w:lang w:val="en-CA"/>
        </w:rPr>
        <w:t xml:space="preserve">These comments are made on behalf of the following members of the </w:t>
      </w:r>
      <w:r w:rsidRPr="00376FE6">
        <w:rPr>
          <w:lang w:val="en-CA"/>
        </w:rPr>
        <w:t>Local and Subnational Major Group (LSNG)</w:t>
      </w:r>
      <w:r>
        <w:rPr>
          <w:lang w:val="en-CA"/>
        </w:rPr>
        <w:t xml:space="preserve">: </w:t>
      </w:r>
      <w:r w:rsidRPr="00376FE6">
        <w:rPr>
          <w:lang w:val="en-CA"/>
        </w:rPr>
        <w:t>ICLEI</w:t>
      </w:r>
      <w:r w:rsidR="008364C4">
        <w:rPr>
          <w:lang w:val="en-CA"/>
        </w:rPr>
        <w:t>,</w:t>
      </w:r>
      <w:r w:rsidRPr="00376FE6">
        <w:rPr>
          <w:lang w:val="en-CA"/>
        </w:rPr>
        <w:t xml:space="preserve"> the Advisory Committee on Subnational Governments and Biodiversity - coordinated by Regions4 and the Government of Québec, and the Edinburgh Process </w:t>
      </w:r>
      <w:r w:rsidR="008364C4">
        <w:rPr>
          <w:lang w:val="en-CA"/>
        </w:rPr>
        <w:t>coordinators</w:t>
      </w:r>
      <w:r w:rsidRPr="00376FE6">
        <w:rPr>
          <w:lang w:val="en-CA"/>
        </w:rPr>
        <w:t>.</w:t>
      </w:r>
    </w:p>
    <w:p w14:paraId="6E88D00C" w14:textId="5122AA76" w:rsidR="00E95F70" w:rsidRPr="00E57C5E" w:rsidRDefault="00CD34F6" w:rsidP="00E57C5E">
      <w:pPr>
        <w:spacing w:after="160" w:line="259" w:lineRule="auto"/>
        <w:jc w:val="both"/>
        <w:rPr>
          <w:lang w:val="en-CA"/>
        </w:rPr>
      </w:pPr>
      <w:r w:rsidRPr="6C7F5FF4">
        <w:rPr>
          <w:lang w:val="en-CA"/>
        </w:rPr>
        <w:t xml:space="preserve">The LSNG major group welcomes the </w:t>
      </w:r>
      <w:hyperlink r:id="rId11">
        <w:r w:rsidRPr="6C7F5FF4">
          <w:rPr>
            <w:rStyle w:val="Lienhypertexte"/>
            <w:lang w:val="en-CA"/>
          </w:rPr>
          <w:t>CBD/SBI/3/11/Add.6</w:t>
        </w:r>
      </w:hyperlink>
      <w:r w:rsidRPr="6C7F5FF4">
        <w:rPr>
          <w:lang w:val="en-CA"/>
        </w:rPr>
        <w:t xml:space="preserve"> on commitments from actors other than national governments, as it reiterates what is already mentioned in the proposed Plan of action on subnational and local governments (</w:t>
      </w:r>
      <w:hyperlink r:id="rId12">
        <w:r w:rsidRPr="6C7F5FF4">
          <w:rPr>
            <w:rStyle w:val="Lienhypertexte"/>
            <w:lang w:val="en-CA"/>
          </w:rPr>
          <w:t>CBD/SBI/3/</w:t>
        </w:r>
        <w:r w:rsidR="00E95F70" w:rsidRPr="6C7F5FF4">
          <w:rPr>
            <w:rStyle w:val="Lienhypertexte"/>
            <w:lang w:val="en-CA"/>
          </w:rPr>
          <w:t>L16</w:t>
        </w:r>
      </w:hyperlink>
      <w:r w:rsidRPr="6C7F5FF4">
        <w:rPr>
          <w:lang w:val="en-CA"/>
        </w:rPr>
        <w:t>), particularly Action area 7 on monitoring and reporting. It encourages subnational and local governments to use online commitment and reporting platforms, such as RegionsWithNature and CitiesWithNature, to report</w:t>
      </w:r>
      <w:r w:rsidR="00E95F70" w:rsidRPr="6C7F5FF4">
        <w:rPr>
          <w:lang w:val="en-CA"/>
        </w:rPr>
        <w:t xml:space="preserve"> on</w:t>
      </w:r>
      <w:r w:rsidRPr="6C7F5FF4">
        <w:rPr>
          <w:lang w:val="en-CA"/>
        </w:rPr>
        <w:t xml:space="preserve"> and track progress against their commitments and essential contributions to the </w:t>
      </w:r>
      <w:r w:rsidR="00E95F70" w:rsidRPr="6C7F5FF4">
        <w:rPr>
          <w:lang w:val="en-CA"/>
        </w:rPr>
        <w:t xml:space="preserve">implementation of the post-2020 </w:t>
      </w:r>
      <w:r w:rsidRPr="6C7F5FF4">
        <w:rPr>
          <w:lang w:val="en-CA"/>
        </w:rPr>
        <w:t xml:space="preserve">GBF and </w:t>
      </w:r>
      <w:r w:rsidR="00E95F70" w:rsidRPr="6C7F5FF4">
        <w:rPr>
          <w:lang w:val="en-CA"/>
        </w:rPr>
        <w:t>national biodiversity strategies and action plans (</w:t>
      </w:r>
      <w:r w:rsidRPr="6C7F5FF4">
        <w:rPr>
          <w:lang w:val="en-CA"/>
        </w:rPr>
        <w:t>NBSAPs</w:t>
      </w:r>
      <w:r w:rsidR="00E95F70" w:rsidRPr="6C7F5FF4">
        <w:rPr>
          <w:lang w:val="en-CA"/>
        </w:rPr>
        <w:t>)</w:t>
      </w:r>
      <w:r w:rsidRPr="6C7F5FF4">
        <w:rPr>
          <w:lang w:val="en-CA"/>
        </w:rPr>
        <w:t>.</w:t>
      </w:r>
      <w:r w:rsidR="009B0CA7" w:rsidRPr="6C7F5FF4">
        <w:rPr>
          <w:lang w:val="en-CA"/>
        </w:rPr>
        <w:t xml:space="preserve"> To this end an </w:t>
      </w:r>
      <w:hyperlink r:id="rId13" w:history="1">
        <w:r w:rsidR="009B0CA7" w:rsidRPr="6C7F5FF4">
          <w:rPr>
            <w:rStyle w:val="Lienhypertexte"/>
            <w:lang w:val="en-CA"/>
          </w:rPr>
          <w:t>Action Platform</w:t>
        </w:r>
      </w:hyperlink>
      <w:r w:rsidR="009B0CA7" w:rsidRPr="6C7F5FF4">
        <w:rPr>
          <w:lang w:val="en-CA"/>
        </w:rPr>
        <w:t xml:space="preserve"> has been developed where LSNGs can make voluntary commitments on the actions they will take to contribute to national and global biodiversity targets. This Action Platform is aligned with the 2030 Action Targets in the post-2020 global biodiversity framework, and allows LSNGs to track progress, monitor and report on their voluntary commitments. </w:t>
      </w:r>
      <w:r w:rsidR="00D3548A" w:rsidRPr="6C7F5FF4">
        <w:rPr>
          <w:lang w:val="en-CA"/>
        </w:rPr>
        <w:t>The</w:t>
      </w:r>
      <w:r w:rsidR="009B0CA7" w:rsidRPr="6C7F5FF4">
        <w:rPr>
          <w:lang w:val="en-CA"/>
        </w:rPr>
        <w:t xml:space="preserve"> information</w:t>
      </w:r>
      <w:r w:rsidR="00D3548A" w:rsidRPr="6C7F5FF4">
        <w:rPr>
          <w:lang w:val="en-CA"/>
        </w:rPr>
        <w:t xml:space="preserve"> gathered through the Action Platform provides valuable insight into LSNGs </w:t>
      </w:r>
      <w:r w:rsidR="009B0CA7" w:rsidRPr="6C7F5FF4">
        <w:rPr>
          <w:lang w:val="en-CA"/>
        </w:rPr>
        <w:t>contribut</w:t>
      </w:r>
      <w:r w:rsidR="00D3548A" w:rsidRPr="6C7F5FF4">
        <w:rPr>
          <w:lang w:val="en-CA"/>
        </w:rPr>
        <w:t>ions to</w:t>
      </w:r>
      <w:r w:rsidR="009B0CA7" w:rsidRPr="6C7F5FF4">
        <w:rPr>
          <w:lang w:val="en-CA"/>
        </w:rPr>
        <w:t xml:space="preserve"> National Biodiversity Strategies and Action Plans, and can support national reporting to the UN CBD.</w:t>
      </w:r>
    </w:p>
    <w:p w14:paraId="4EBFED79" w14:textId="45789509" w:rsidR="00CD34F6" w:rsidRPr="00E57C5E" w:rsidRDefault="00CD34F6" w:rsidP="00E57C5E">
      <w:pPr>
        <w:spacing w:after="160" w:line="259" w:lineRule="auto"/>
        <w:jc w:val="both"/>
        <w:rPr>
          <w:lang w:val="en-CA"/>
        </w:rPr>
      </w:pPr>
      <w:r w:rsidRPr="00E57C5E">
        <w:rPr>
          <w:lang w:val="en-CA"/>
        </w:rPr>
        <w:t xml:space="preserve">The proposed timeline in </w:t>
      </w:r>
      <w:r w:rsidRPr="002C2A04">
        <w:rPr>
          <w:lang w:val="en-CA"/>
        </w:rPr>
        <w:t>Add.6</w:t>
      </w:r>
      <w:r w:rsidRPr="00E7301E">
        <w:rPr>
          <w:b/>
          <w:bCs/>
          <w:lang w:val="en-CA"/>
        </w:rPr>
        <w:t xml:space="preserve"> paragraph</w:t>
      </w:r>
      <w:r w:rsidRPr="00E57C5E">
        <w:rPr>
          <w:b/>
          <w:bCs/>
          <w:lang w:val="en-CA"/>
        </w:rPr>
        <w:t xml:space="preserve"> 9.c</w:t>
      </w:r>
      <w:r w:rsidRPr="00E57C5E">
        <w:rPr>
          <w:lang w:val="en-CA"/>
        </w:rPr>
        <w:t xml:space="preserve"> is however too tight for our constituencies to develop such commitments, and to report effectively on them. We suggest changing it to a more realistic timeline, such as within 2 years of the adoption of the GBF, but no less than 18 months of its adoption. It is our view that a more realistic timeline will enable more effective coordination between all levels of governments and will result in a more accurate and comprehensive</w:t>
      </w:r>
      <w:r w:rsidR="008D13A8" w:rsidRPr="00E57C5E">
        <w:rPr>
          <w:lang w:val="en-CA"/>
        </w:rPr>
        <w:t xml:space="preserve"> </w:t>
      </w:r>
      <w:r w:rsidRPr="00E57C5E">
        <w:rPr>
          <w:lang w:val="en-CA"/>
        </w:rPr>
        <w:t xml:space="preserve">monitoring and reporting mechanism. </w:t>
      </w:r>
    </w:p>
    <w:p w14:paraId="41D430A2" w14:textId="343DACEC" w:rsidR="00E7301E" w:rsidRPr="002A41E2" w:rsidRDefault="00CD34F6" w:rsidP="00E7301E">
      <w:pPr>
        <w:spacing w:after="160" w:line="259" w:lineRule="auto"/>
        <w:jc w:val="both"/>
        <w:rPr>
          <w:lang w:val="en-CA"/>
        </w:rPr>
      </w:pPr>
      <w:r w:rsidRPr="00E57C5E">
        <w:rPr>
          <w:lang w:val="en-CA"/>
        </w:rPr>
        <w:t xml:space="preserve">Regarding </w:t>
      </w:r>
      <w:r w:rsidR="008D13A8" w:rsidRPr="00E57C5E">
        <w:rPr>
          <w:lang w:val="en-CA"/>
        </w:rPr>
        <w:t>the</w:t>
      </w:r>
      <w:r w:rsidRPr="00E57C5E">
        <w:rPr>
          <w:lang w:val="en-CA"/>
        </w:rPr>
        <w:t xml:space="preserve"> Annex </w:t>
      </w:r>
      <w:r w:rsidR="008D13A8" w:rsidRPr="00E57C5E">
        <w:rPr>
          <w:lang w:val="en-CA"/>
        </w:rPr>
        <w:t xml:space="preserve">contained in this document </w:t>
      </w:r>
      <w:r w:rsidR="00457266">
        <w:rPr>
          <w:lang w:val="en-CA"/>
        </w:rPr>
        <w:t xml:space="preserve">and </w:t>
      </w:r>
      <w:r w:rsidR="008D13A8" w:rsidRPr="00E57C5E">
        <w:rPr>
          <w:lang w:val="en-CA"/>
        </w:rPr>
        <w:t xml:space="preserve">entitled </w:t>
      </w:r>
      <w:r w:rsidR="00F92BEB">
        <w:rPr>
          <w:lang w:val="en-CA"/>
        </w:rPr>
        <w:t>“</w:t>
      </w:r>
      <w:r w:rsidR="008D13A8" w:rsidRPr="00E57C5E">
        <w:rPr>
          <w:lang w:val="en-CA"/>
        </w:rPr>
        <w:t>Core reporting elements for actors other than national Governments</w:t>
      </w:r>
      <w:r w:rsidR="00F92BEB">
        <w:rPr>
          <w:lang w:val="en-CA"/>
        </w:rPr>
        <w:t>”</w:t>
      </w:r>
      <w:r w:rsidRPr="00E57C5E">
        <w:rPr>
          <w:lang w:val="en-CA"/>
        </w:rPr>
        <w:t xml:space="preserve"> </w:t>
      </w:r>
      <w:r w:rsidR="00E7301E">
        <w:rPr>
          <w:lang w:val="en-CA"/>
        </w:rPr>
        <w:t xml:space="preserve">and more specifically the </w:t>
      </w:r>
      <w:r w:rsidR="00E7301E" w:rsidRPr="00E7301E">
        <w:rPr>
          <w:b/>
          <w:bCs/>
          <w:lang w:val="en-CA"/>
        </w:rPr>
        <w:t>progress tracking section</w:t>
      </w:r>
      <w:r w:rsidR="00E7301E">
        <w:rPr>
          <w:lang w:val="en-CA"/>
        </w:rPr>
        <w:t xml:space="preserve">, </w:t>
      </w:r>
      <w:r w:rsidRPr="00E57C5E">
        <w:rPr>
          <w:lang w:val="en-CA"/>
        </w:rPr>
        <w:t>the timeline (</w:t>
      </w:r>
      <w:r w:rsidR="005E291A" w:rsidRPr="005E291A">
        <w:rPr>
          <w:b/>
          <w:bCs/>
          <w:lang w:val="en-CA"/>
        </w:rPr>
        <w:t>paragraphs 15 and 15a</w:t>
      </w:r>
      <w:r w:rsidR="005E291A">
        <w:rPr>
          <w:lang w:val="en-CA"/>
        </w:rPr>
        <w:t xml:space="preserve"> on s</w:t>
      </w:r>
      <w:r w:rsidRPr="00E57C5E">
        <w:rPr>
          <w:lang w:val="en-CA"/>
        </w:rPr>
        <w:t xml:space="preserve">tart </w:t>
      </w:r>
      <w:r w:rsidR="005E291A">
        <w:rPr>
          <w:lang w:val="en-CA"/>
        </w:rPr>
        <w:t>and</w:t>
      </w:r>
      <w:r w:rsidRPr="00E57C5E">
        <w:rPr>
          <w:lang w:val="en-CA"/>
        </w:rPr>
        <w:t xml:space="preserve"> end dates for commitments) should, where appropriate, be aligned with national reporting cycles to ensure there is no double tracking and reporting.</w:t>
      </w:r>
    </w:p>
    <w:p w14:paraId="11FA8AF0" w14:textId="411FBBB1" w:rsidR="00CD34F6" w:rsidRPr="002A41E2" w:rsidRDefault="002B64D6" w:rsidP="00CD34F6">
      <w:pPr>
        <w:jc w:val="both"/>
      </w:pPr>
      <w:r>
        <w:t>See next pages for s</w:t>
      </w:r>
      <w:r w:rsidR="004A7618">
        <w:t>pecific comments on the content of the Add.6</w:t>
      </w:r>
      <w:r w:rsidR="005E291A">
        <w:t xml:space="preserve"> and its Annex.</w:t>
      </w:r>
    </w:p>
    <w:p w14:paraId="082E3CC5" w14:textId="4A1FF6D0" w:rsidR="00CD34F6" w:rsidRPr="00CD34F6" w:rsidRDefault="00CD34F6" w:rsidP="00CD34F6">
      <w:pPr>
        <w:jc w:val="left"/>
        <w:rPr>
          <w:lang w:val="en-CA"/>
        </w:rPr>
      </w:pPr>
      <w:r>
        <w:br w:type="page"/>
      </w:r>
    </w:p>
    <w:p w14:paraId="0FE48F23" w14:textId="77777777" w:rsidR="00CD34F6" w:rsidRDefault="00CD34F6"/>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7313F" w:rsidRPr="00F137C0" w14:paraId="718135F9" w14:textId="77777777" w:rsidTr="00DC3705">
        <w:trPr>
          <w:trHeight w:val="851"/>
        </w:trPr>
        <w:tc>
          <w:tcPr>
            <w:tcW w:w="976" w:type="dxa"/>
            <w:tcBorders>
              <w:bottom w:val="single" w:sz="12" w:space="0" w:color="auto"/>
            </w:tcBorders>
          </w:tcPr>
          <w:p w14:paraId="1DE81F01" w14:textId="77777777" w:rsidR="00C7313F" w:rsidRPr="002B1F65" w:rsidRDefault="00C7313F" w:rsidP="00DC3705">
            <w:pPr>
              <w:suppressLineNumbers/>
              <w:suppressAutoHyphens/>
              <w:rPr>
                <w:kern w:val="22"/>
                <w:lang w:val="en-GB"/>
              </w:rPr>
            </w:pPr>
            <w:r w:rsidRPr="002B1F65">
              <w:rPr>
                <w:noProof/>
                <w:kern w:val="22"/>
                <w:lang w:val="en-GB"/>
              </w:rPr>
              <w:drawing>
                <wp:inline distT="0" distB="0" distL="0" distR="0" wp14:anchorId="5CFCE72A" wp14:editId="6D3D1BEF">
                  <wp:extent cx="476494" cy="403200"/>
                  <wp:effectExtent l="0" t="0" r="6350" b="3810"/>
                  <wp:docPr id="7" name="Picture 7"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CFA38C9" w14:textId="77777777" w:rsidR="00C7313F" w:rsidRPr="002B1F65" w:rsidRDefault="00C7313F" w:rsidP="00DC3705">
            <w:pPr>
              <w:suppressLineNumbers/>
              <w:suppressAutoHyphens/>
              <w:rPr>
                <w:kern w:val="22"/>
                <w:lang w:val="en-GB"/>
              </w:rPr>
            </w:pPr>
            <w:r w:rsidRPr="00215A6E">
              <w:rPr>
                <w:noProof/>
                <w:lang w:val="en-GB"/>
              </w:rPr>
              <w:drawing>
                <wp:inline distT="0" distB="0" distL="0" distR="0" wp14:anchorId="5C658C52" wp14:editId="3EC5003A">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5661658A" w14:textId="77777777" w:rsidR="00C7313F" w:rsidRPr="002B1F65" w:rsidRDefault="00C7313F" w:rsidP="00DC3705">
            <w:pPr>
              <w:suppressLineNumbers/>
              <w:suppressAutoHyphens/>
              <w:jc w:val="right"/>
              <w:rPr>
                <w:rFonts w:ascii="Arial" w:hAnsi="Arial" w:cs="Arial"/>
                <w:b/>
                <w:kern w:val="22"/>
                <w:sz w:val="32"/>
                <w:szCs w:val="32"/>
                <w:lang w:val="en-GB"/>
              </w:rPr>
            </w:pPr>
            <w:r w:rsidRPr="002B1F65">
              <w:rPr>
                <w:rFonts w:ascii="Arial" w:hAnsi="Arial" w:cs="Arial"/>
                <w:b/>
                <w:kern w:val="22"/>
                <w:sz w:val="32"/>
                <w:szCs w:val="32"/>
                <w:lang w:val="en-GB"/>
              </w:rPr>
              <w:t>CBD</w:t>
            </w:r>
          </w:p>
        </w:tc>
      </w:tr>
      <w:tr w:rsidR="00C7313F" w:rsidRPr="00F137C0" w14:paraId="43C91ACA" w14:textId="77777777" w:rsidTr="00DC3705">
        <w:tc>
          <w:tcPr>
            <w:tcW w:w="6117" w:type="dxa"/>
            <w:gridSpan w:val="2"/>
            <w:tcBorders>
              <w:top w:val="single" w:sz="12" w:space="0" w:color="auto"/>
              <w:bottom w:val="single" w:sz="36" w:space="0" w:color="auto"/>
            </w:tcBorders>
            <w:vAlign w:val="center"/>
          </w:tcPr>
          <w:p w14:paraId="05007F4E" w14:textId="77777777" w:rsidR="00C7313F" w:rsidRPr="002B1F65" w:rsidRDefault="00C7313F" w:rsidP="00DC3705">
            <w:pPr>
              <w:suppressLineNumbers/>
              <w:suppressAutoHyphens/>
              <w:rPr>
                <w:kern w:val="22"/>
                <w:lang w:val="en-GB"/>
              </w:rPr>
            </w:pPr>
            <w:r w:rsidRPr="002B1F65">
              <w:rPr>
                <w:noProof/>
                <w:kern w:val="22"/>
                <w:lang w:val="en-GB"/>
              </w:rPr>
              <w:drawing>
                <wp:inline distT="0" distB="0" distL="0" distR="0" wp14:anchorId="26A69421" wp14:editId="5F8D6E6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F2091E6" w14:textId="77777777" w:rsidR="00C7313F" w:rsidRPr="002B1F65" w:rsidRDefault="00C7313F" w:rsidP="00DC3705">
            <w:pPr>
              <w:suppressLineNumbers/>
              <w:suppressAutoHyphens/>
              <w:ind w:left="1215"/>
              <w:rPr>
                <w:rFonts w:ascii="Times New Roman" w:hAnsi="Times New Roman" w:cs="Times New Roman"/>
                <w:kern w:val="22"/>
                <w:sz w:val="21"/>
                <w:szCs w:val="21"/>
                <w:lang w:val="en-GB"/>
              </w:rPr>
            </w:pPr>
            <w:r w:rsidRPr="002B1F65">
              <w:rPr>
                <w:rFonts w:ascii="Times New Roman" w:hAnsi="Times New Roman" w:cs="Times New Roman"/>
                <w:kern w:val="22"/>
                <w:sz w:val="21"/>
                <w:szCs w:val="21"/>
                <w:lang w:val="en-GB"/>
              </w:rPr>
              <w:t>Distr.</w:t>
            </w:r>
          </w:p>
          <w:p w14:paraId="1F8A1819" w14:textId="5756D0AA" w:rsidR="00C7313F" w:rsidRPr="002B1F65" w:rsidRDefault="00E6107B" w:rsidP="00DC3705">
            <w:pPr>
              <w:suppressLineNumbers/>
              <w:suppressAutoHyphens/>
              <w:ind w:left="1215"/>
              <w:rPr>
                <w:rFonts w:ascii="Times New Roman" w:hAnsi="Times New Roman" w:cs="Times New Roman"/>
                <w:kern w:val="22"/>
                <w:sz w:val="21"/>
                <w:szCs w:val="21"/>
                <w:lang w:val="en-GB"/>
              </w:rPr>
            </w:pPr>
            <w:r w:rsidRPr="00F137C0">
              <w:rPr>
                <w:rFonts w:ascii="Times New Roman" w:hAnsi="Times New Roman" w:cs="Times New Roman"/>
                <w:kern w:val="22"/>
                <w:sz w:val="21"/>
                <w:szCs w:val="21"/>
                <w:lang w:val="en-GB"/>
              </w:rPr>
              <w:t>GENERAL</w:t>
            </w:r>
          </w:p>
          <w:p w14:paraId="0FCB2E28" w14:textId="77777777" w:rsidR="00C7313F" w:rsidRPr="002B1F65" w:rsidRDefault="00C7313F" w:rsidP="00DC3705">
            <w:pPr>
              <w:suppressLineNumbers/>
              <w:suppressAutoHyphens/>
              <w:ind w:left="1215"/>
              <w:rPr>
                <w:rFonts w:ascii="Times New Roman" w:hAnsi="Times New Roman" w:cs="Times New Roman"/>
                <w:kern w:val="22"/>
                <w:sz w:val="21"/>
                <w:szCs w:val="21"/>
                <w:lang w:val="en-GB"/>
              </w:rPr>
            </w:pPr>
          </w:p>
          <w:p w14:paraId="00B67B6B" w14:textId="03E0A6D1" w:rsidR="00C7313F" w:rsidRPr="002B1F65" w:rsidRDefault="00E6107B" w:rsidP="00DC3705">
            <w:pPr>
              <w:suppressLineNumbers/>
              <w:suppressAutoHyphens/>
              <w:ind w:left="1215"/>
              <w:rPr>
                <w:rFonts w:ascii="Times New Roman" w:hAnsi="Times New Roman" w:cs="Times New Roman"/>
                <w:kern w:val="22"/>
                <w:sz w:val="21"/>
                <w:szCs w:val="21"/>
                <w:lang w:val="en-GB"/>
              </w:rPr>
            </w:pPr>
            <w:r w:rsidRPr="002B1F65">
              <w:rPr>
                <w:rFonts w:ascii="Times New Roman" w:hAnsi="Times New Roman" w:cs="Times New Roman"/>
                <w:kern w:val="22"/>
                <w:sz w:val="21"/>
                <w:szCs w:val="21"/>
                <w:lang w:val="en-GB"/>
              </w:rPr>
              <w:t>CBD/SBI/3/11/Add.</w:t>
            </w:r>
            <w:r w:rsidR="00271B19" w:rsidRPr="002B1F65">
              <w:rPr>
                <w:rFonts w:ascii="Times New Roman" w:hAnsi="Times New Roman" w:cs="Times New Roman"/>
                <w:kern w:val="22"/>
                <w:sz w:val="21"/>
                <w:szCs w:val="21"/>
                <w:lang w:val="en-GB"/>
              </w:rPr>
              <w:t>6</w:t>
            </w:r>
          </w:p>
          <w:p w14:paraId="73A964E6" w14:textId="3837EC4D" w:rsidR="00C7313F" w:rsidRPr="002B1F65" w:rsidRDefault="00532F10" w:rsidP="00DC3705">
            <w:pPr>
              <w:suppressLineNumbers/>
              <w:suppressAutoHyphens/>
              <w:ind w:left="1215"/>
              <w:rPr>
                <w:rFonts w:ascii="Times New Roman" w:hAnsi="Times New Roman" w:cs="Times New Roman"/>
                <w:kern w:val="22"/>
                <w:sz w:val="21"/>
                <w:szCs w:val="21"/>
                <w:lang w:val="en-GB"/>
              </w:rPr>
            </w:pPr>
            <w:r w:rsidRPr="00F137C0">
              <w:rPr>
                <w:rFonts w:ascii="Times New Roman" w:hAnsi="Times New Roman" w:cs="Times New Roman"/>
                <w:kern w:val="22"/>
                <w:sz w:val="21"/>
                <w:szCs w:val="21"/>
                <w:lang w:val="en-GB"/>
              </w:rPr>
              <w:t>28</w:t>
            </w:r>
            <w:r w:rsidR="00C7313F" w:rsidRPr="002B1F65">
              <w:rPr>
                <w:rFonts w:ascii="Times New Roman" w:hAnsi="Times New Roman" w:cs="Times New Roman"/>
                <w:kern w:val="22"/>
                <w:sz w:val="21"/>
                <w:szCs w:val="21"/>
                <w:lang w:val="en-GB"/>
              </w:rPr>
              <w:t xml:space="preserve"> </w:t>
            </w:r>
            <w:r w:rsidR="00E6107B" w:rsidRPr="00F137C0">
              <w:rPr>
                <w:rFonts w:ascii="Times New Roman" w:hAnsi="Times New Roman" w:cs="Times New Roman"/>
                <w:kern w:val="22"/>
                <w:sz w:val="21"/>
                <w:szCs w:val="21"/>
                <w:lang w:val="en-GB"/>
              </w:rPr>
              <w:t>December</w:t>
            </w:r>
            <w:r w:rsidR="00C7313F" w:rsidRPr="002B1F65">
              <w:rPr>
                <w:rFonts w:ascii="Times New Roman" w:hAnsi="Times New Roman" w:cs="Times New Roman"/>
                <w:kern w:val="22"/>
                <w:sz w:val="21"/>
                <w:szCs w:val="21"/>
                <w:lang w:val="en-GB"/>
              </w:rPr>
              <w:t xml:space="preserve"> 202</w:t>
            </w:r>
            <w:r w:rsidR="00E6107B" w:rsidRPr="00F137C0">
              <w:rPr>
                <w:rFonts w:ascii="Times New Roman" w:hAnsi="Times New Roman" w:cs="Times New Roman"/>
                <w:kern w:val="22"/>
                <w:sz w:val="21"/>
                <w:szCs w:val="21"/>
                <w:lang w:val="en-GB"/>
              </w:rPr>
              <w:t>1</w:t>
            </w:r>
          </w:p>
          <w:p w14:paraId="4490D221" w14:textId="77777777" w:rsidR="00C7313F" w:rsidRPr="002B1F65" w:rsidRDefault="00C7313F" w:rsidP="00DC3705">
            <w:pPr>
              <w:suppressLineNumbers/>
              <w:suppressAutoHyphens/>
              <w:ind w:left="1215"/>
              <w:rPr>
                <w:rFonts w:ascii="Times New Roman" w:hAnsi="Times New Roman" w:cs="Times New Roman"/>
                <w:kern w:val="22"/>
                <w:sz w:val="21"/>
                <w:szCs w:val="21"/>
                <w:lang w:val="en-GB"/>
              </w:rPr>
            </w:pPr>
          </w:p>
          <w:p w14:paraId="02DA03B3" w14:textId="77777777" w:rsidR="00C7313F" w:rsidRPr="002B1F65" w:rsidRDefault="00C7313F" w:rsidP="00DC3705">
            <w:pPr>
              <w:suppressLineNumbers/>
              <w:suppressAutoHyphens/>
              <w:ind w:left="1215"/>
              <w:rPr>
                <w:rFonts w:ascii="Times New Roman" w:hAnsi="Times New Roman" w:cs="Times New Roman"/>
                <w:kern w:val="22"/>
                <w:sz w:val="21"/>
                <w:szCs w:val="21"/>
                <w:lang w:val="en-GB"/>
              </w:rPr>
            </w:pPr>
            <w:r w:rsidRPr="002B1F65">
              <w:rPr>
                <w:rFonts w:ascii="Times New Roman" w:hAnsi="Times New Roman" w:cs="Times New Roman"/>
                <w:kern w:val="22"/>
                <w:sz w:val="21"/>
                <w:szCs w:val="21"/>
                <w:lang w:val="en-GB"/>
              </w:rPr>
              <w:t>ORIGINAL: ENGLISH</w:t>
            </w:r>
          </w:p>
          <w:p w14:paraId="00CC96FD" w14:textId="77777777" w:rsidR="00C7313F" w:rsidRPr="002B1F65" w:rsidRDefault="00C7313F" w:rsidP="00DC3705">
            <w:pPr>
              <w:suppressLineNumbers/>
              <w:suppressAutoHyphens/>
              <w:rPr>
                <w:rFonts w:ascii="Times New Roman" w:hAnsi="Times New Roman" w:cs="Times New Roman"/>
                <w:kern w:val="22"/>
                <w:sz w:val="21"/>
                <w:szCs w:val="21"/>
                <w:lang w:val="en-GB"/>
              </w:rPr>
            </w:pPr>
          </w:p>
        </w:tc>
      </w:tr>
    </w:tbl>
    <w:p w14:paraId="15158EAC" w14:textId="77777777" w:rsidR="00C7313F" w:rsidRPr="00F137C0" w:rsidRDefault="00C7313F" w:rsidP="00C7313F">
      <w:pPr>
        <w:pStyle w:val="meetingname"/>
        <w:suppressLineNumbers/>
        <w:suppressAutoHyphens/>
        <w:ind w:left="284" w:right="4398" w:hanging="284"/>
        <w:rPr>
          <w:kern w:val="22"/>
        </w:rPr>
      </w:pPr>
      <w:bookmarkStart w:id="1" w:name="Meeting"/>
      <w:r w:rsidRPr="00F137C0">
        <w:rPr>
          <w:kern w:val="22"/>
        </w:rPr>
        <w:t>SUBSIDIARY BODY ON IMPLEMENTATION</w:t>
      </w:r>
      <w:bookmarkEnd w:id="1"/>
    </w:p>
    <w:p w14:paraId="770F144E" w14:textId="77777777" w:rsidR="00C7313F" w:rsidRPr="002B1F65" w:rsidRDefault="00C7313F" w:rsidP="00C7313F">
      <w:pPr>
        <w:suppressLineNumbers/>
        <w:suppressAutoHyphens/>
        <w:ind w:left="284" w:hanging="284"/>
        <w:jc w:val="left"/>
        <w:rPr>
          <w:rFonts w:ascii="Times New Roman" w:hAnsi="Times New Roman" w:cs="Times New Roman"/>
          <w:kern w:val="22"/>
          <w:lang w:val="en-GB" w:eastAsia="nb-NO"/>
        </w:rPr>
      </w:pPr>
      <w:r w:rsidRPr="002B1F65">
        <w:rPr>
          <w:rFonts w:ascii="Times New Roman" w:hAnsi="Times New Roman" w:cs="Times New Roman"/>
          <w:kern w:val="22"/>
          <w:lang w:val="en-GB" w:eastAsia="nb-NO"/>
        </w:rPr>
        <w:t>Third meeting</w:t>
      </w:r>
    </w:p>
    <w:p w14:paraId="04834EF3" w14:textId="3A091049" w:rsidR="007A103B" w:rsidRPr="002B1F65" w:rsidRDefault="007A103B" w:rsidP="002B1F65">
      <w:pPr>
        <w:suppressLineNumbers/>
        <w:suppressAutoHyphens/>
        <w:jc w:val="left"/>
        <w:rPr>
          <w:rFonts w:ascii="Times New Roman" w:hAnsi="Times New Roman" w:cs="Times New Roman"/>
          <w:kern w:val="22"/>
          <w:lang w:val="en-GB" w:eastAsia="nb-NO"/>
        </w:rPr>
      </w:pPr>
      <w:r w:rsidRPr="00F137C0">
        <w:rPr>
          <w:rFonts w:ascii="Times New Roman" w:hAnsi="Times New Roman" w:cs="Times New Roman"/>
          <w:kern w:val="22"/>
          <w:lang w:val="en-GB" w:eastAsia="nb-NO"/>
        </w:rPr>
        <w:t>Geneva, Switzerland</w:t>
      </w:r>
      <w:r w:rsidR="00B8545B" w:rsidRPr="00F137C0">
        <w:rPr>
          <w:rFonts w:ascii="Times New Roman" w:hAnsi="Times New Roman" w:cs="Times New Roman"/>
          <w:kern w:val="22"/>
          <w:lang w:val="en-GB" w:eastAsia="nb-NO"/>
        </w:rPr>
        <w:t xml:space="preserve">, </w:t>
      </w:r>
      <w:r w:rsidRPr="00F137C0">
        <w:rPr>
          <w:rFonts w:ascii="Times New Roman" w:hAnsi="Times New Roman" w:cs="Times New Roman"/>
          <w:kern w:val="22"/>
          <w:lang w:val="en-GB" w:eastAsia="nb-NO"/>
        </w:rPr>
        <w:t>1</w:t>
      </w:r>
      <w:r w:rsidR="003B61A4">
        <w:rPr>
          <w:rFonts w:ascii="Times New Roman" w:hAnsi="Times New Roman" w:cs="Times New Roman"/>
          <w:kern w:val="22"/>
          <w:lang w:val="en-GB" w:eastAsia="nb-NO"/>
        </w:rPr>
        <w:t>4</w:t>
      </w:r>
      <w:r w:rsidRPr="00F137C0">
        <w:rPr>
          <w:rFonts w:ascii="Times New Roman" w:hAnsi="Times New Roman" w:cs="Times New Roman"/>
          <w:kern w:val="22"/>
          <w:lang w:val="en-GB" w:eastAsia="nb-NO"/>
        </w:rPr>
        <w:t>-29 March 2022</w:t>
      </w:r>
    </w:p>
    <w:p w14:paraId="6ECC38C9" w14:textId="296A0AA4" w:rsidR="00BF093D" w:rsidRPr="002B1F65" w:rsidRDefault="007262F3" w:rsidP="00B90CF4">
      <w:pPr>
        <w:pStyle w:val="Cornernotation"/>
        <w:suppressLineNumbers/>
        <w:suppressAutoHyphens/>
        <w:kinsoku w:val="0"/>
        <w:overflowPunct w:val="0"/>
        <w:autoSpaceDE w:val="0"/>
        <w:autoSpaceDN w:val="0"/>
        <w:ind w:left="180" w:right="4422" w:hanging="180"/>
        <w:rPr>
          <w:kern w:val="22"/>
          <w:szCs w:val="22"/>
        </w:rPr>
      </w:pPr>
      <w:r w:rsidRPr="00F137C0">
        <w:rPr>
          <w:kern w:val="22"/>
          <w:szCs w:val="22"/>
        </w:rPr>
        <w:t>Agenda i</w:t>
      </w:r>
      <w:r w:rsidR="00C7313F" w:rsidRPr="002B1F65">
        <w:rPr>
          <w:kern w:val="22"/>
          <w:szCs w:val="22"/>
        </w:rPr>
        <w:t>tem 9</w:t>
      </w:r>
    </w:p>
    <w:p w14:paraId="18CC05CB" w14:textId="565F186E" w:rsidR="000E22E1" w:rsidRPr="002B1F65" w:rsidRDefault="00B105E9" w:rsidP="002B1F65">
      <w:pPr>
        <w:spacing w:before="120" w:after="120"/>
        <w:rPr>
          <w:rFonts w:ascii="Times New Roman Bold" w:hAnsi="Times New Roman Bold" w:cs="Times New Roman Bold"/>
          <w:b/>
          <w:bCs/>
          <w:caps/>
          <w:kern w:val="22"/>
          <w:lang w:val="en-GB"/>
        </w:rPr>
      </w:pPr>
      <w:r w:rsidRPr="002B1F65">
        <w:rPr>
          <w:rFonts w:ascii="Times New Roman Bold" w:hAnsi="Times New Roman Bold" w:cs="Times New Roman Bold"/>
          <w:b/>
          <w:bCs/>
          <w:caps/>
          <w:kern w:val="22"/>
          <w:lang w:val="en-GB"/>
        </w:rPr>
        <w:t xml:space="preserve">Commitments from </w:t>
      </w:r>
      <w:r w:rsidR="00D3317E" w:rsidRPr="002B1F65">
        <w:rPr>
          <w:rFonts w:ascii="Times New Roman Bold" w:hAnsi="Times New Roman Bold" w:cs="Times New Roman Bold"/>
          <w:b/>
          <w:bCs/>
          <w:caps/>
          <w:kern w:val="22"/>
          <w:lang w:val="en-GB"/>
        </w:rPr>
        <w:t>actors</w:t>
      </w:r>
      <w:r w:rsidRPr="002B1F65">
        <w:rPr>
          <w:rFonts w:ascii="Times New Roman Bold" w:hAnsi="Times New Roman Bold" w:cs="Times New Roman Bold"/>
          <w:b/>
          <w:bCs/>
          <w:caps/>
          <w:kern w:val="22"/>
          <w:lang w:val="en-GB"/>
        </w:rPr>
        <w:t xml:space="preserve"> other than national </w:t>
      </w:r>
      <w:r w:rsidR="006C28E1" w:rsidRPr="002B1F65">
        <w:rPr>
          <w:rFonts w:ascii="Times New Roman Bold" w:hAnsi="Times New Roman Bold" w:cs="Times New Roman Bold"/>
          <w:b/>
          <w:bCs/>
          <w:caps/>
          <w:kern w:val="22"/>
          <w:lang w:val="en-GB"/>
        </w:rPr>
        <w:t>G</w:t>
      </w:r>
      <w:r w:rsidRPr="002B1F65">
        <w:rPr>
          <w:rFonts w:ascii="Times New Roman Bold" w:hAnsi="Times New Roman Bold" w:cs="Times New Roman Bold"/>
          <w:b/>
          <w:bCs/>
          <w:caps/>
          <w:kern w:val="22"/>
          <w:lang w:val="en-GB"/>
        </w:rPr>
        <w:t>overnments in the context of an enhanced planning, monitoring, review and reporting</w:t>
      </w:r>
      <w:r w:rsidR="00322BFD">
        <w:rPr>
          <w:rFonts w:ascii="Times New Roman Bold" w:hAnsi="Times New Roman Bold" w:cs="Times New Roman Bold"/>
          <w:b/>
          <w:bCs/>
          <w:caps/>
          <w:kern w:val="22"/>
          <w:lang w:val="en-GB"/>
        </w:rPr>
        <w:t> </w:t>
      </w:r>
      <w:r w:rsidRPr="002B1F65">
        <w:rPr>
          <w:rFonts w:ascii="Times New Roman Bold" w:hAnsi="Times New Roman Bold" w:cs="Times New Roman Bold"/>
          <w:b/>
          <w:bCs/>
          <w:caps/>
          <w:kern w:val="22"/>
          <w:lang w:val="en-GB"/>
        </w:rPr>
        <w:t>mechanism</w:t>
      </w:r>
    </w:p>
    <w:p w14:paraId="449BA8BD" w14:textId="04FFAE08" w:rsidR="005A56DD" w:rsidRPr="002B1F65" w:rsidRDefault="006C28E1" w:rsidP="002B1F65">
      <w:pPr>
        <w:spacing w:before="120" w:after="120"/>
        <w:rPr>
          <w:rFonts w:ascii="Times New Roman" w:hAnsi="Times New Roman" w:cs="Times New Roman"/>
          <w:i/>
          <w:iCs/>
          <w:kern w:val="22"/>
          <w:lang w:val="en-GB"/>
        </w:rPr>
      </w:pPr>
      <w:r w:rsidRPr="002B1F65">
        <w:rPr>
          <w:rFonts w:ascii="Times New Roman" w:hAnsi="Times New Roman" w:cs="Times New Roman"/>
          <w:i/>
          <w:iCs/>
          <w:kern w:val="22"/>
          <w:lang w:val="en-GB"/>
        </w:rPr>
        <w:t>Note by the Executive Secretary</w:t>
      </w:r>
    </w:p>
    <w:p w14:paraId="5FC425AC" w14:textId="045C2C8C" w:rsidR="006C28E1" w:rsidRPr="002B1F65" w:rsidRDefault="006C28E1" w:rsidP="002B1F65">
      <w:pPr>
        <w:spacing w:before="120" w:after="120"/>
        <w:rPr>
          <w:rFonts w:ascii="Times New Roman" w:hAnsi="Times New Roman" w:cs="Times New Roman"/>
          <w:i/>
          <w:iCs/>
          <w:kern w:val="22"/>
          <w:lang w:val="en-GB"/>
        </w:rPr>
      </w:pPr>
      <w:r w:rsidRPr="002B1F65">
        <w:rPr>
          <w:rFonts w:ascii="Times New Roman" w:hAnsi="Times New Roman" w:cs="Times New Roman"/>
          <w:i/>
          <w:iCs/>
          <w:kern w:val="22"/>
          <w:lang w:val="en-GB"/>
        </w:rPr>
        <w:t>Addendum</w:t>
      </w:r>
    </w:p>
    <w:p w14:paraId="48167B16" w14:textId="5B8D768D" w:rsidR="0040743A" w:rsidRPr="002B1F65" w:rsidRDefault="005A56DD" w:rsidP="00D41208">
      <w:pPr>
        <w:pStyle w:val="Paragraphedeliste"/>
        <w:keepNext/>
        <w:numPr>
          <w:ilvl w:val="0"/>
          <w:numId w:val="8"/>
        </w:numPr>
        <w:tabs>
          <w:tab w:val="left" w:pos="360"/>
        </w:tabs>
        <w:spacing w:before="120" w:after="120"/>
        <w:ind w:left="0" w:firstLine="0"/>
        <w:contextualSpacing w:val="0"/>
        <w:outlineLvl w:val="0"/>
        <w:rPr>
          <w:rFonts w:ascii="Times New Roman" w:hAnsi="Times New Roman" w:cs="Times New Roman"/>
          <w:kern w:val="22"/>
          <w:lang w:val="en-GB"/>
        </w:rPr>
      </w:pPr>
      <w:r w:rsidRPr="002B1F65">
        <w:rPr>
          <w:rFonts w:ascii="Times New Roman Bold" w:hAnsi="Times New Roman Bold" w:cs="Times New Roman Bold"/>
          <w:b/>
          <w:bCs/>
          <w:caps/>
          <w:kern w:val="22"/>
          <w:lang w:val="en-GB"/>
        </w:rPr>
        <w:t>Introduction</w:t>
      </w:r>
    </w:p>
    <w:p w14:paraId="63AB6D7C" w14:textId="168888C7" w:rsidR="00276573" w:rsidRPr="002B1F65" w:rsidRDefault="007D22D5" w:rsidP="002B1F65">
      <w:pPr>
        <w:pStyle w:val="Para1"/>
        <w:numPr>
          <w:ilvl w:val="0"/>
          <w:numId w:val="9"/>
        </w:numPr>
        <w:tabs>
          <w:tab w:val="clear" w:pos="360"/>
        </w:tabs>
        <w:rPr>
          <w:rStyle w:val="Para1Char"/>
          <w:rFonts w:eastAsiaTheme="minorEastAsia"/>
          <w:kern w:val="22"/>
          <w:szCs w:val="22"/>
        </w:rPr>
      </w:pPr>
      <w:r w:rsidRPr="00F137C0">
        <w:rPr>
          <w:kern w:val="22"/>
          <w:szCs w:val="22"/>
          <w:lang w:eastAsia="en-US"/>
        </w:rPr>
        <w:t>In its decision 14/34</w:t>
      </w:r>
      <w:r w:rsidR="00B105E9" w:rsidRPr="002B1F65">
        <w:rPr>
          <w:kern w:val="22"/>
          <w:szCs w:val="22"/>
          <w:lang w:eastAsia="en-US"/>
        </w:rPr>
        <w:t>, the Conference of the Parties encouraged indigenous peoples and local communities and all relevant organizations and stakeholders</w:t>
      </w:r>
      <w:r w:rsidR="00C236F8" w:rsidRPr="00F137C0">
        <w:rPr>
          <w:kern w:val="22"/>
          <w:szCs w:val="22"/>
          <w:lang w:eastAsia="en-US"/>
        </w:rPr>
        <w:t>,</w:t>
      </w:r>
      <w:r w:rsidR="00B105E9" w:rsidRPr="002B1F65">
        <w:rPr>
          <w:kern w:val="22"/>
          <w:szCs w:val="22"/>
          <w:lang w:eastAsia="en-US"/>
        </w:rPr>
        <w:t xml:space="preserve"> including the private sector</w:t>
      </w:r>
      <w:r w:rsidR="00C236F8" w:rsidRPr="00F137C0">
        <w:rPr>
          <w:kern w:val="22"/>
          <w:szCs w:val="22"/>
          <w:lang w:eastAsia="en-US"/>
        </w:rPr>
        <w:t>,</w:t>
      </w:r>
      <w:r w:rsidR="00B105E9" w:rsidRPr="002B1F65">
        <w:rPr>
          <w:kern w:val="22"/>
          <w:szCs w:val="22"/>
          <w:lang w:eastAsia="en-US"/>
        </w:rPr>
        <w:t xml:space="preserve"> to consider developing, prior to the fifteenth meeting of the Conference of the Parties, biodiversity commitments</w:t>
      </w:r>
      <w:r w:rsidR="00B105E9" w:rsidRPr="002B1F65">
        <w:rPr>
          <w:rStyle w:val="Appelnotedebasdep"/>
          <w:kern w:val="22"/>
          <w:szCs w:val="22"/>
          <w:lang w:eastAsia="en-US"/>
        </w:rPr>
        <w:footnoteReference w:id="2"/>
      </w:r>
      <w:r w:rsidR="00B105E9" w:rsidRPr="002B1F65">
        <w:rPr>
          <w:b/>
          <w:bCs/>
          <w:kern w:val="22"/>
          <w:szCs w:val="22"/>
        </w:rPr>
        <w:t xml:space="preserve"> </w:t>
      </w:r>
      <w:r w:rsidR="00B105E9" w:rsidRPr="002B1F65">
        <w:rPr>
          <w:kern w:val="22"/>
          <w:szCs w:val="22"/>
          <w:lang w:eastAsia="en-US"/>
        </w:rPr>
        <w:t xml:space="preserve">that </w:t>
      </w:r>
      <w:r w:rsidR="00784385" w:rsidRPr="00F137C0">
        <w:rPr>
          <w:kern w:val="22"/>
          <w:szCs w:val="22"/>
          <w:lang w:eastAsia="en-US"/>
        </w:rPr>
        <w:t>might</w:t>
      </w:r>
      <w:r w:rsidR="00784385" w:rsidRPr="002B1F65">
        <w:rPr>
          <w:kern w:val="22"/>
          <w:szCs w:val="22"/>
          <w:lang w:eastAsia="en-US"/>
        </w:rPr>
        <w:t xml:space="preserve"> </w:t>
      </w:r>
      <w:r w:rsidR="00B105E9" w:rsidRPr="002B1F65">
        <w:rPr>
          <w:kern w:val="22"/>
          <w:szCs w:val="22"/>
          <w:lang w:eastAsia="en-US"/>
        </w:rPr>
        <w:t>contribute to an effective post-2020 global biodiversity framework and to make such information available as a contribution to the Sharm El-Sheikh to Kunming Action Agenda for Nature and People</w:t>
      </w:r>
      <w:r w:rsidR="00C236F8" w:rsidRPr="00F137C0">
        <w:rPr>
          <w:kern w:val="22"/>
          <w:szCs w:val="22"/>
          <w:lang w:eastAsia="en-US"/>
        </w:rPr>
        <w:t>.</w:t>
      </w:r>
      <w:r w:rsidR="00B105E9" w:rsidRPr="002B1F65">
        <w:rPr>
          <w:rStyle w:val="Appelnotedebasdep"/>
          <w:kern w:val="22"/>
          <w:szCs w:val="22"/>
          <w:lang w:eastAsia="en-US"/>
        </w:rPr>
        <w:footnoteReference w:id="3"/>
      </w:r>
    </w:p>
    <w:p w14:paraId="6DB5CB1B" w14:textId="0EF400F4" w:rsidR="00276573" w:rsidRPr="002B1F65" w:rsidRDefault="004C24C3" w:rsidP="002B1F65">
      <w:pPr>
        <w:pStyle w:val="Para1"/>
        <w:numPr>
          <w:ilvl w:val="0"/>
          <w:numId w:val="9"/>
        </w:numPr>
        <w:tabs>
          <w:tab w:val="clear" w:pos="360"/>
        </w:tabs>
        <w:rPr>
          <w:rStyle w:val="Para1Char"/>
          <w:kern w:val="22"/>
          <w:szCs w:val="22"/>
        </w:rPr>
      </w:pPr>
      <w:r w:rsidRPr="002B1F65">
        <w:rPr>
          <w:rStyle w:val="Para1Char"/>
          <w:rFonts w:eastAsiaTheme="minorEastAsia"/>
          <w:kern w:val="22"/>
          <w:szCs w:val="22"/>
        </w:rPr>
        <w:t xml:space="preserve">At the first part of its third meeting, held from 16 May to 13 June 2021, the Subsidiary Body on Implementation discussed options for an enhanced implementation, monitoring, reporting and review mechanism under the Convention, which included commitments from actors other than national </w:t>
      </w:r>
      <w:r w:rsidR="004760F8" w:rsidRPr="00F137C0">
        <w:rPr>
          <w:rStyle w:val="Para1Char"/>
          <w:rFonts w:eastAsiaTheme="minorEastAsia"/>
          <w:kern w:val="22"/>
          <w:szCs w:val="22"/>
        </w:rPr>
        <w:t>G</w:t>
      </w:r>
      <w:r w:rsidRPr="002B1F65">
        <w:rPr>
          <w:rStyle w:val="Para1Char"/>
          <w:rFonts w:eastAsiaTheme="minorEastAsia"/>
          <w:kern w:val="22"/>
          <w:szCs w:val="22"/>
        </w:rPr>
        <w:t>overnments. In considering the item, the Subsidiary Body had before it a note by the Executive Secretary on options to enhance planning, reporting and review mechanisms with a view to strengthening the implementation of the Convention (CBD/SBI/3/11). The Subsidiary Body established a contact group to address this item.</w:t>
      </w:r>
    </w:p>
    <w:p w14:paraId="6E4EB4B4" w14:textId="41D54F22" w:rsidR="00276573" w:rsidRPr="002B1F65" w:rsidRDefault="004C24C3" w:rsidP="002B1F65">
      <w:pPr>
        <w:pStyle w:val="Para1"/>
        <w:numPr>
          <w:ilvl w:val="0"/>
          <w:numId w:val="9"/>
        </w:numPr>
        <w:tabs>
          <w:tab w:val="clear" w:pos="360"/>
        </w:tabs>
        <w:rPr>
          <w:rStyle w:val="Para1Char"/>
          <w:kern w:val="22"/>
          <w:szCs w:val="22"/>
        </w:rPr>
      </w:pPr>
      <w:r w:rsidRPr="002B1F65">
        <w:rPr>
          <w:rStyle w:val="Para1Char"/>
          <w:rFonts w:eastAsiaTheme="minorEastAsia"/>
          <w:color w:val="000000"/>
          <w:kern w:val="22"/>
          <w:szCs w:val="22"/>
        </w:rPr>
        <w:t>The outcome of the group’s deliberations was reflected in a draft recommendation prepared by the Chair on options to enhance planning, reporting, and review mechanisms with a view to strengthening the implementation of the Convention (CBD/SBI/3/CRP.5). The Subsidiary Body decided to defer adoption of the draft recommendation until part II of the meeting.</w:t>
      </w:r>
    </w:p>
    <w:p w14:paraId="1A5677DF" w14:textId="2F499190" w:rsidR="00276573" w:rsidRPr="002B1F65" w:rsidRDefault="00606C82" w:rsidP="00276573">
      <w:pPr>
        <w:pStyle w:val="Para1"/>
        <w:numPr>
          <w:ilvl w:val="0"/>
          <w:numId w:val="9"/>
        </w:numPr>
        <w:tabs>
          <w:tab w:val="clear" w:pos="360"/>
        </w:tabs>
        <w:rPr>
          <w:kern w:val="22"/>
          <w:szCs w:val="22"/>
        </w:rPr>
      </w:pPr>
      <w:r w:rsidRPr="002B1F65">
        <w:rPr>
          <w:kern w:val="22"/>
          <w:szCs w:val="22"/>
        </w:rPr>
        <w:t>Paragraph 14 of CBD/SBI/3/CRP.5</w:t>
      </w:r>
      <w:r w:rsidR="00C36612" w:rsidRPr="002B1F65">
        <w:rPr>
          <w:kern w:val="22"/>
          <w:szCs w:val="22"/>
        </w:rPr>
        <w:t xml:space="preserve"> </w:t>
      </w:r>
      <w:r w:rsidR="00BA0E74" w:rsidRPr="00F137C0">
        <w:rPr>
          <w:kern w:val="22"/>
          <w:szCs w:val="22"/>
        </w:rPr>
        <w:t>contains a proposal</w:t>
      </w:r>
      <w:r w:rsidR="00BA0E74" w:rsidRPr="002B1F65">
        <w:rPr>
          <w:kern w:val="22"/>
          <w:szCs w:val="22"/>
        </w:rPr>
        <w:t xml:space="preserve"> </w:t>
      </w:r>
      <w:r w:rsidR="00C36612" w:rsidRPr="002B1F65">
        <w:rPr>
          <w:kern w:val="22"/>
          <w:szCs w:val="22"/>
        </w:rPr>
        <w:t xml:space="preserve">to invite indigenous peoples and local communities, </w:t>
      </w:r>
      <w:commentRangeStart w:id="2"/>
      <w:r w:rsidR="00C36612" w:rsidRPr="002B1F65">
        <w:rPr>
          <w:kern w:val="22"/>
          <w:szCs w:val="22"/>
        </w:rPr>
        <w:t>subnational governments, cities and other local authorities, intergovernmental organizations, other multilateral environmental agreements, non</w:t>
      </w:r>
      <w:r w:rsidR="002A7021">
        <w:rPr>
          <w:kern w:val="22"/>
          <w:szCs w:val="22"/>
        </w:rPr>
        <w:t>-</w:t>
      </w:r>
      <w:r w:rsidR="00C36612" w:rsidRPr="002B1F65">
        <w:rPr>
          <w:kern w:val="22"/>
          <w:szCs w:val="22"/>
        </w:rPr>
        <w:t xml:space="preserve">governmental organizations, women’s groups, youth groups, research organizations, the business and finance community and representatives of sectors related to or dependent on biodiversity, to develop commitments in support of the post-2020 global biodiversity </w:t>
      </w:r>
      <w:r w:rsidR="00C36612" w:rsidRPr="002B1F65">
        <w:rPr>
          <w:kern w:val="22"/>
          <w:szCs w:val="22"/>
        </w:rPr>
        <w:lastRenderedPageBreak/>
        <w:t>framework, using a template</w:t>
      </w:r>
      <w:r w:rsidR="004C24C3" w:rsidRPr="002B1F65">
        <w:rPr>
          <w:kern w:val="22"/>
          <w:szCs w:val="22"/>
        </w:rPr>
        <w:t>.</w:t>
      </w:r>
      <w:commentRangeEnd w:id="2"/>
      <w:r w:rsidR="00CD34F6">
        <w:rPr>
          <w:rStyle w:val="Marquedecommentaire"/>
          <w:rFonts w:asciiTheme="minorHAnsi" w:eastAsiaTheme="minorEastAsia" w:hAnsiTheme="minorHAnsi" w:cstheme="minorBidi"/>
          <w:lang w:val="en-US"/>
        </w:rPr>
        <w:commentReference w:id="2"/>
      </w:r>
      <w:r w:rsidR="004C24C3" w:rsidRPr="002B1F65">
        <w:rPr>
          <w:kern w:val="22"/>
          <w:szCs w:val="22"/>
        </w:rPr>
        <w:t xml:space="preserve"> </w:t>
      </w:r>
      <w:r w:rsidR="004C24C3" w:rsidRPr="002B1F65">
        <w:rPr>
          <w:color w:val="000000" w:themeColor="text1"/>
          <w:kern w:val="22"/>
          <w:szCs w:val="22"/>
        </w:rPr>
        <w:t>A footnote indicates that these are to be prepared in the light of further discussions, including at the third meeting of the Open-ended Working Group on the Post-2020 Global Biodiversity Framework, before the fifteenth meeting of the Conference of the Parties. This is also reflected in the list of intersessional work arising from part I of the third meeting of the Subsidiary Body, annexed to the report on that meeting (CBD/SBI/3/20).</w:t>
      </w:r>
    </w:p>
    <w:p w14:paraId="6D71ECF5" w14:textId="095E8D50" w:rsidR="00CB31D7" w:rsidRPr="002B1F65" w:rsidRDefault="00606C82" w:rsidP="002B1F65">
      <w:pPr>
        <w:pStyle w:val="Para1"/>
        <w:numPr>
          <w:ilvl w:val="0"/>
          <w:numId w:val="9"/>
        </w:numPr>
        <w:tabs>
          <w:tab w:val="clear" w:pos="360"/>
        </w:tabs>
        <w:rPr>
          <w:kern w:val="22"/>
          <w:szCs w:val="22"/>
        </w:rPr>
      </w:pPr>
      <w:r w:rsidRPr="002B1F65">
        <w:rPr>
          <w:kern w:val="22"/>
          <w:szCs w:val="22"/>
        </w:rPr>
        <w:t>Accordingly, and to assist the Subsidiary Body in its further consideration of this matter, on the basis of draft recommendation contained in CBD/SBI/3/CRP.5,</w:t>
      </w:r>
      <w:r w:rsidR="00A60CD7" w:rsidRPr="002B1F65">
        <w:rPr>
          <w:kern w:val="22"/>
          <w:szCs w:val="22"/>
        </w:rPr>
        <w:t xml:space="preserve"> the discussions during the first part of the meeting of the Subsidiary Body and in </w:t>
      </w:r>
      <w:r w:rsidR="00615E6E" w:rsidRPr="00F137C0">
        <w:rPr>
          <w:kern w:val="22"/>
          <w:szCs w:val="22"/>
        </w:rPr>
        <w:t xml:space="preserve">the </w:t>
      </w:r>
      <w:r w:rsidR="00A60CD7" w:rsidRPr="002B1F65">
        <w:rPr>
          <w:kern w:val="22"/>
          <w:szCs w:val="22"/>
        </w:rPr>
        <w:t>light of the experience under the Sharm El-Sheikh to Kunming Action Agenda for Nature and People</w:t>
      </w:r>
      <w:r w:rsidR="0037706E" w:rsidRPr="00F137C0">
        <w:rPr>
          <w:kern w:val="22"/>
          <w:szCs w:val="22"/>
        </w:rPr>
        <w:t>,</w:t>
      </w:r>
      <w:r w:rsidR="00A60CD7" w:rsidRPr="002B1F65">
        <w:rPr>
          <w:rStyle w:val="Appelnotedebasdep"/>
          <w:kern w:val="22"/>
          <w:szCs w:val="22"/>
        </w:rPr>
        <w:footnoteReference w:id="4"/>
      </w:r>
      <w:r w:rsidRPr="002B1F65">
        <w:rPr>
          <w:kern w:val="22"/>
          <w:szCs w:val="22"/>
        </w:rPr>
        <w:t xml:space="preserve"> the Executive Secretary has developed </w:t>
      </w:r>
      <w:r w:rsidR="00E75C12">
        <w:rPr>
          <w:kern w:val="22"/>
          <w:szCs w:val="22"/>
        </w:rPr>
        <w:t xml:space="preserve">items </w:t>
      </w:r>
      <w:r w:rsidR="00EB7C8A">
        <w:rPr>
          <w:kern w:val="22"/>
          <w:szCs w:val="22"/>
        </w:rPr>
        <w:t>to be considered</w:t>
      </w:r>
      <w:r w:rsidR="00C36612" w:rsidRPr="002B1F65">
        <w:rPr>
          <w:kern w:val="22"/>
          <w:szCs w:val="22"/>
        </w:rPr>
        <w:t xml:space="preserve"> for such a template.</w:t>
      </w:r>
      <w:r w:rsidR="004C24C3" w:rsidRPr="002B1F65">
        <w:rPr>
          <w:kern w:val="22"/>
          <w:szCs w:val="22"/>
        </w:rPr>
        <w:t xml:space="preserve"> </w:t>
      </w:r>
      <w:r w:rsidR="00F137C0" w:rsidRPr="00F137C0">
        <w:rPr>
          <w:kern w:val="22"/>
          <w:szCs w:val="22"/>
        </w:rPr>
        <w:t>The present</w:t>
      </w:r>
      <w:r w:rsidR="00F137C0" w:rsidRPr="002B1F65">
        <w:rPr>
          <w:kern w:val="22"/>
          <w:szCs w:val="22"/>
        </w:rPr>
        <w:t xml:space="preserve"> </w:t>
      </w:r>
      <w:r w:rsidR="004C24C3" w:rsidRPr="002B1F65">
        <w:rPr>
          <w:kern w:val="22"/>
          <w:szCs w:val="22"/>
        </w:rPr>
        <w:t xml:space="preserve">document captures core elements for reporting from actors other than national </w:t>
      </w:r>
      <w:r w:rsidR="00996ABE" w:rsidRPr="00F137C0">
        <w:rPr>
          <w:kern w:val="22"/>
          <w:szCs w:val="22"/>
        </w:rPr>
        <w:t>G</w:t>
      </w:r>
      <w:r w:rsidR="004C24C3" w:rsidRPr="002B1F65">
        <w:rPr>
          <w:kern w:val="22"/>
          <w:szCs w:val="22"/>
        </w:rPr>
        <w:t>overnments</w:t>
      </w:r>
      <w:r w:rsidR="000D0956" w:rsidRPr="002B1F65">
        <w:rPr>
          <w:kern w:val="22"/>
          <w:szCs w:val="22"/>
        </w:rPr>
        <w:t>.</w:t>
      </w:r>
    </w:p>
    <w:p w14:paraId="1246B0C2" w14:textId="7944682A" w:rsidR="00CB31D7" w:rsidRPr="002B1F65" w:rsidRDefault="00CB31D7" w:rsidP="00D41208">
      <w:pPr>
        <w:pStyle w:val="Default"/>
        <w:keepNext/>
        <w:numPr>
          <w:ilvl w:val="0"/>
          <w:numId w:val="8"/>
        </w:numPr>
        <w:ind w:left="1152" w:hanging="432"/>
        <w:outlineLvl w:val="0"/>
        <w:rPr>
          <w:rFonts w:asciiTheme="majorBidi" w:hAnsiTheme="majorBidi" w:cstheme="majorBidi"/>
          <w:b/>
          <w:bCs/>
          <w:caps/>
          <w:kern w:val="22"/>
          <w:sz w:val="22"/>
          <w:szCs w:val="22"/>
          <w:lang w:val="en-GB"/>
        </w:rPr>
      </w:pPr>
      <w:r w:rsidRPr="002B1F65">
        <w:rPr>
          <w:rFonts w:asciiTheme="majorBidi" w:hAnsiTheme="majorBidi" w:cstheme="majorBidi"/>
          <w:b/>
          <w:bCs/>
          <w:caps/>
          <w:kern w:val="22"/>
          <w:sz w:val="22"/>
          <w:szCs w:val="22"/>
          <w:lang w:val="en-GB"/>
        </w:rPr>
        <w:t xml:space="preserve">General principles for including commitments from </w:t>
      </w:r>
      <w:r w:rsidR="001971A4" w:rsidRPr="002B1F65">
        <w:rPr>
          <w:rFonts w:asciiTheme="majorBidi" w:hAnsiTheme="majorBidi" w:cstheme="majorBidi"/>
          <w:b/>
          <w:bCs/>
          <w:caps/>
          <w:kern w:val="22"/>
          <w:sz w:val="22"/>
          <w:szCs w:val="22"/>
          <w:lang w:val="en-GB"/>
        </w:rPr>
        <w:t xml:space="preserve">actors </w:t>
      </w:r>
      <w:r w:rsidRPr="002B1F65">
        <w:rPr>
          <w:rFonts w:asciiTheme="majorBidi" w:hAnsiTheme="majorBidi" w:cstheme="majorBidi"/>
          <w:b/>
          <w:bCs/>
          <w:caps/>
          <w:kern w:val="22"/>
          <w:sz w:val="22"/>
          <w:szCs w:val="22"/>
          <w:lang w:val="en-GB"/>
        </w:rPr>
        <w:t xml:space="preserve">other than national </w:t>
      </w:r>
      <w:r w:rsidR="0072660E" w:rsidRPr="002B1F65">
        <w:rPr>
          <w:rFonts w:asciiTheme="majorBidi" w:hAnsiTheme="majorBidi" w:cstheme="majorBidi"/>
          <w:b/>
          <w:bCs/>
          <w:caps/>
          <w:kern w:val="22"/>
          <w:sz w:val="22"/>
          <w:szCs w:val="22"/>
          <w:lang w:val="en-GB"/>
        </w:rPr>
        <w:t>G</w:t>
      </w:r>
      <w:r w:rsidRPr="002B1F65">
        <w:rPr>
          <w:rFonts w:asciiTheme="majorBidi" w:hAnsiTheme="majorBidi" w:cstheme="majorBidi"/>
          <w:b/>
          <w:bCs/>
          <w:caps/>
          <w:kern w:val="22"/>
          <w:sz w:val="22"/>
          <w:szCs w:val="22"/>
          <w:lang w:val="en-GB"/>
        </w:rPr>
        <w:t xml:space="preserve">overnments in an enhanced planning, monitoring, review and reporting </w:t>
      </w:r>
      <w:r w:rsidR="001971A4" w:rsidRPr="002B1F65">
        <w:rPr>
          <w:rFonts w:asciiTheme="majorBidi" w:hAnsiTheme="majorBidi" w:cstheme="majorBidi"/>
          <w:b/>
          <w:bCs/>
          <w:caps/>
          <w:kern w:val="22"/>
          <w:sz w:val="22"/>
          <w:szCs w:val="22"/>
          <w:lang w:val="en-GB"/>
        </w:rPr>
        <w:t>mechanism</w:t>
      </w:r>
    </w:p>
    <w:p w14:paraId="433A1B2E" w14:textId="05D3C2EA" w:rsidR="00276573" w:rsidRPr="002B1F65" w:rsidRDefault="00D857E0" w:rsidP="002B1F65">
      <w:pPr>
        <w:pStyle w:val="Para1"/>
        <w:numPr>
          <w:ilvl w:val="0"/>
          <w:numId w:val="9"/>
        </w:numPr>
        <w:tabs>
          <w:tab w:val="clear" w:pos="360"/>
        </w:tabs>
        <w:rPr>
          <w:kern w:val="22"/>
          <w:szCs w:val="22"/>
        </w:rPr>
      </w:pPr>
      <w:r w:rsidRPr="002B1F65">
        <w:rPr>
          <w:kern w:val="22"/>
          <w:szCs w:val="22"/>
        </w:rPr>
        <w:t>The</w:t>
      </w:r>
      <w:r w:rsidR="00CB31D7" w:rsidRPr="002B1F65">
        <w:rPr>
          <w:kern w:val="22"/>
          <w:szCs w:val="22"/>
        </w:rPr>
        <w:t xml:space="preserve"> engagement</w:t>
      </w:r>
      <w:r w:rsidR="00B6298A" w:rsidRPr="002B1F65">
        <w:rPr>
          <w:kern w:val="22"/>
          <w:szCs w:val="22"/>
        </w:rPr>
        <w:t xml:space="preserve"> </w:t>
      </w:r>
      <w:r w:rsidRPr="002B1F65">
        <w:rPr>
          <w:kern w:val="22"/>
          <w:szCs w:val="22"/>
        </w:rPr>
        <w:t xml:space="preserve">of actors other than national </w:t>
      </w:r>
      <w:r w:rsidR="00DB7BA4">
        <w:rPr>
          <w:kern w:val="22"/>
          <w:szCs w:val="22"/>
        </w:rPr>
        <w:t>G</w:t>
      </w:r>
      <w:r w:rsidRPr="002B1F65">
        <w:rPr>
          <w:kern w:val="22"/>
          <w:szCs w:val="22"/>
        </w:rPr>
        <w:t xml:space="preserve">overnments </w:t>
      </w:r>
      <w:r w:rsidR="00B6298A" w:rsidRPr="002B1F65">
        <w:rPr>
          <w:kern w:val="22"/>
          <w:szCs w:val="22"/>
        </w:rPr>
        <w:t xml:space="preserve">can </w:t>
      </w:r>
      <w:r w:rsidR="00CB31D7" w:rsidRPr="002B1F65">
        <w:rPr>
          <w:kern w:val="22"/>
          <w:szCs w:val="22"/>
        </w:rPr>
        <w:t xml:space="preserve">facilitate the creation of new multi-stakeholder partnerships and collaboration, test innovative approaches, mobilize private finance, offer new knowledge, and raise interest among sectors traditionally impacting biodiversity loss to take on biodiversity commitments. </w:t>
      </w:r>
      <w:r w:rsidR="00B6298A" w:rsidRPr="002B1F65">
        <w:rPr>
          <w:kern w:val="22"/>
          <w:szCs w:val="22"/>
        </w:rPr>
        <w:t>However</w:t>
      </w:r>
      <w:r w:rsidR="00CB31D7" w:rsidRPr="002B1F65">
        <w:rPr>
          <w:kern w:val="22"/>
          <w:szCs w:val="22"/>
        </w:rPr>
        <w:t>, there could be risks emerging from greenwashing and negative influencing on the intergovernmental process. To counter the</w:t>
      </w:r>
      <w:r w:rsidR="00F140F8" w:rsidRPr="002B1F65">
        <w:rPr>
          <w:kern w:val="22"/>
          <w:szCs w:val="22"/>
        </w:rPr>
        <w:t>se</w:t>
      </w:r>
      <w:r w:rsidR="00CB31D7" w:rsidRPr="002B1F65">
        <w:rPr>
          <w:kern w:val="22"/>
          <w:szCs w:val="22"/>
        </w:rPr>
        <w:t xml:space="preserve"> risks and enhance </w:t>
      </w:r>
      <w:r w:rsidR="00B6298A" w:rsidRPr="002B1F65">
        <w:rPr>
          <w:kern w:val="22"/>
          <w:szCs w:val="22"/>
        </w:rPr>
        <w:t xml:space="preserve">accountability and transparency, commitments from actors other than national </w:t>
      </w:r>
      <w:r w:rsidR="00A5297E">
        <w:rPr>
          <w:kern w:val="22"/>
          <w:szCs w:val="22"/>
        </w:rPr>
        <w:t>G</w:t>
      </w:r>
      <w:r w:rsidR="00B6298A" w:rsidRPr="002B1F65">
        <w:rPr>
          <w:kern w:val="22"/>
          <w:szCs w:val="22"/>
        </w:rPr>
        <w:t xml:space="preserve">overnments </w:t>
      </w:r>
      <w:r w:rsidR="00E80F59" w:rsidRPr="002B1F65">
        <w:rPr>
          <w:kern w:val="22"/>
          <w:szCs w:val="22"/>
        </w:rPr>
        <w:t xml:space="preserve">should be aligned with </w:t>
      </w:r>
      <w:r w:rsidR="00B6298A" w:rsidRPr="002B1F65">
        <w:rPr>
          <w:kern w:val="22"/>
          <w:szCs w:val="22"/>
        </w:rPr>
        <w:t xml:space="preserve">the post-2020 global biodiversity framework. </w:t>
      </w:r>
      <w:r w:rsidR="00CB31D7" w:rsidRPr="002B1F65">
        <w:rPr>
          <w:kern w:val="22"/>
          <w:szCs w:val="22"/>
        </w:rPr>
        <w:t xml:space="preserve">The objective of accountability and transparency measures for </w:t>
      </w:r>
      <w:r w:rsidR="00B6298A" w:rsidRPr="002B1F65">
        <w:rPr>
          <w:kern w:val="22"/>
          <w:szCs w:val="22"/>
        </w:rPr>
        <w:t xml:space="preserve">commitments from actors </w:t>
      </w:r>
      <w:r w:rsidR="00A27C7E" w:rsidRPr="002B1F65">
        <w:rPr>
          <w:kern w:val="22"/>
          <w:szCs w:val="22"/>
        </w:rPr>
        <w:t xml:space="preserve">other than </w:t>
      </w:r>
      <w:r w:rsidR="00B6298A" w:rsidRPr="002B1F65">
        <w:rPr>
          <w:kern w:val="22"/>
          <w:szCs w:val="22"/>
        </w:rPr>
        <w:t xml:space="preserve">national </w:t>
      </w:r>
      <w:r w:rsidR="00561EA4">
        <w:rPr>
          <w:kern w:val="22"/>
          <w:szCs w:val="22"/>
        </w:rPr>
        <w:t>G</w:t>
      </w:r>
      <w:r w:rsidR="00B6298A" w:rsidRPr="002B1F65">
        <w:rPr>
          <w:kern w:val="22"/>
          <w:szCs w:val="22"/>
        </w:rPr>
        <w:t xml:space="preserve">overnments should thus include </w:t>
      </w:r>
      <w:r w:rsidR="00CB31D7" w:rsidRPr="002B1F65">
        <w:rPr>
          <w:kern w:val="22"/>
          <w:szCs w:val="22"/>
        </w:rPr>
        <w:t xml:space="preserve">demonstrating </w:t>
      </w:r>
      <w:commentRangeStart w:id="3"/>
      <w:r w:rsidR="00CB31D7" w:rsidRPr="002B1F65">
        <w:rPr>
          <w:kern w:val="22"/>
          <w:szCs w:val="22"/>
        </w:rPr>
        <w:t xml:space="preserve">how </w:t>
      </w:r>
      <w:r w:rsidR="00787AE6" w:rsidRPr="002B1F65">
        <w:rPr>
          <w:kern w:val="22"/>
          <w:szCs w:val="22"/>
        </w:rPr>
        <w:t xml:space="preserve">their </w:t>
      </w:r>
      <w:r w:rsidR="00CB31D7" w:rsidRPr="002B1F65">
        <w:rPr>
          <w:kern w:val="22"/>
          <w:szCs w:val="22"/>
        </w:rPr>
        <w:t xml:space="preserve">commitments support and impact the </w:t>
      </w:r>
      <w:r w:rsidR="00787AE6" w:rsidRPr="002B1F65">
        <w:rPr>
          <w:kern w:val="22"/>
          <w:szCs w:val="22"/>
        </w:rPr>
        <w:t xml:space="preserve">post-2020 </w:t>
      </w:r>
      <w:r w:rsidR="00CB31D7" w:rsidRPr="002B1F65">
        <w:rPr>
          <w:kern w:val="22"/>
          <w:szCs w:val="22"/>
        </w:rPr>
        <w:t>global biodiversity framework.</w:t>
      </w:r>
      <w:commentRangeEnd w:id="3"/>
      <w:r w:rsidR="00366D36">
        <w:rPr>
          <w:rStyle w:val="Marquedecommentaire"/>
          <w:rFonts w:asciiTheme="minorHAnsi" w:eastAsiaTheme="minorEastAsia" w:hAnsiTheme="minorHAnsi" w:cstheme="minorBidi"/>
          <w:lang w:val="en-US"/>
        </w:rPr>
        <w:commentReference w:id="3"/>
      </w:r>
    </w:p>
    <w:p w14:paraId="17FBA738" w14:textId="43A1C61F" w:rsidR="00276573" w:rsidRPr="002B1F65" w:rsidRDefault="00CB31D7" w:rsidP="002B1F65">
      <w:pPr>
        <w:pStyle w:val="Para1"/>
        <w:numPr>
          <w:ilvl w:val="0"/>
          <w:numId w:val="9"/>
        </w:numPr>
        <w:tabs>
          <w:tab w:val="clear" w:pos="360"/>
        </w:tabs>
        <w:rPr>
          <w:kern w:val="22"/>
          <w:szCs w:val="22"/>
        </w:rPr>
      </w:pPr>
      <w:bookmarkStart w:id="4" w:name="_Ref92222387"/>
      <w:r w:rsidRPr="002B1F65">
        <w:rPr>
          <w:kern w:val="22"/>
          <w:szCs w:val="22"/>
        </w:rPr>
        <w:t>To avoid heavy monitoring and reporting requirements, measures could build on existing data gather</w:t>
      </w:r>
      <w:r w:rsidR="00787AE6" w:rsidRPr="002B1F65">
        <w:rPr>
          <w:kern w:val="22"/>
          <w:szCs w:val="22"/>
        </w:rPr>
        <w:t>er</w:t>
      </w:r>
      <w:r w:rsidRPr="002B1F65">
        <w:rPr>
          <w:kern w:val="22"/>
          <w:szCs w:val="22"/>
        </w:rPr>
        <w:t xml:space="preserve">s and providers, using agreed indicators to measure performance against the </w:t>
      </w:r>
      <w:r w:rsidR="00DB1E1F" w:rsidRPr="002B1F65">
        <w:rPr>
          <w:kern w:val="22"/>
          <w:szCs w:val="22"/>
        </w:rPr>
        <w:t>post-</w:t>
      </w:r>
      <w:r w:rsidRPr="002B1F65">
        <w:rPr>
          <w:kern w:val="22"/>
          <w:szCs w:val="22"/>
        </w:rPr>
        <w:t xml:space="preserve">2020 </w:t>
      </w:r>
      <w:r w:rsidR="00DB1E1F" w:rsidRPr="002B1F65">
        <w:rPr>
          <w:kern w:val="22"/>
          <w:szCs w:val="22"/>
        </w:rPr>
        <w:t xml:space="preserve">global biodiversity </w:t>
      </w:r>
      <w:r w:rsidRPr="002B1F65">
        <w:rPr>
          <w:kern w:val="22"/>
          <w:szCs w:val="22"/>
        </w:rPr>
        <w:t>framework.</w:t>
      </w:r>
      <w:bookmarkEnd w:id="4"/>
    </w:p>
    <w:p w14:paraId="6356A79C" w14:textId="3C6670C7" w:rsidR="00276573" w:rsidRPr="002B1F65" w:rsidRDefault="00B6298A" w:rsidP="002B1F65">
      <w:pPr>
        <w:pStyle w:val="Para1"/>
        <w:numPr>
          <w:ilvl w:val="0"/>
          <w:numId w:val="9"/>
        </w:numPr>
        <w:tabs>
          <w:tab w:val="clear" w:pos="360"/>
        </w:tabs>
        <w:rPr>
          <w:kern w:val="22"/>
          <w:szCs w:val="22"/>
        </w:rPr>
      </w:pPr>
      <w:r w:rsidRPr="002B1F65">
        <w:rPr>
          <w:kern w:val="22"/>
          <w:szCs w:val="22"/>
        </w:rPr>
        <w:t xml:space="preserve">The </w:t>
      </w:r>
      <w:r w:rsidR="00E80F59" w:rsidRPr="002B1F65">
        <w:rPr>
          <w:kern w:val="22"/>
          <w:szCs w:val="22"/>
        </w:rPr>
        <w:t xml:space="preserve">collation of commitments from actors other than national </w:t>
      </w:r>
      <w:r w:rsidR="00561EA4">
        <w:rPr>
          <w:kern w:val="22"/>
          <w:szCs w:val="22"/>
        </w:rPr>
        <w:t>G</w:t>
      </w:r>
      <w:r w:rsidR="00E80F59" w:rsidRPr="002B1F65">
        <w:rPr>
          <w:kern w:val="22"/>
          <w:szCs w:val="22"/>
        </w:rPr>
        <w:t xml:space="preserve">overnments </w:t>
      </w:r>
      <w:r w:rsidRPr="002B1F65">
        <w:rPr>
          <w:kern w:val="22"/>
          <w:szCs w:val="22"/>
        </w:rPr>
        <w:t>should build upon</w:t>
      </w:r>
      <w:r w:rsidR="00CB31D7" w:rsidRPr="002B1F65">
        <w:rPr>
          <w:kern w:val="22"/>
          <w:szCs w:val="22"/>
        </w:rPr>
        <w:t xml:space="preserve"> </w:t>
      </w:r>
      <w:r w:rsidRPr="002B1F65">
        <w:rPr>
          <w:kern w:val="22"/>
          <w:szCs w:val="22"/>
        </w:rPr>
        <w:t>the experiences under the</w:t>
      </w:r>
      <w:r w:rsidR="00CB31D7" w:rsidRPr="002B1F65">
        <w:rPr>
          <w:kern w:val="22"/>
          <w:szCs w:val="22"/>
        </w:rPr>
        <w:t xml:space="preserve"> Action Agenda with existing reporting processes</w:t>
      </w:r>
      <w:r w:rsidR="00DB1E1F" w:rsidRPr="002B1F65">
        <w:rPr>
          <w:kern w:val="22"/>
          <w:szCs w:val="22"/>
        </w:rPr>
        <w:t xml:space="preserve"> for actors other than national </w:t>
      </w:r>
      <w:r w:rsidR="005E3883">
        <w:rPr>
          <w:kern w:val="22"/>
          <w:szCs w:val="22"/>
        </w:rPr>
        <w:t>G</w:t>
      </w:r>
      <w:r w:rsidR="00DB1E1F" w:rsidRPr="002B1F65">
        <w:rPr>
          <w:kern w:val="22"/>
          <w:szCs w:val="22"/>
        </w:rPr>
        <w:t>overnments</w:t>
      </w:r>
      <w:r w:rsidR="00CB31D7" w:rsidRPr="002B1F65">
        <w:rPr>
          <w:kern w:val="22"/>
          <w:szCs w:val="22"/>
        </w:rPr>
        <w:t>, including sustainability standards</w:t>
      </w:r>
      <w:r w:rsidR="006D4109" w:rsidRPr="002B1F65">
        <w:rPr>
          <w:kern w:val="22"/>
          <w:szCs w:val="22"/>
        </w:rPr>
        <w:t>, to</w:t>
      </w:r>
      <w:r w:rsidRPr="002B1F65">
        <w:rPr>
          <w:kern w:val="22"/>
          <w:szCs w:val="22"/>
        </w:rPr>
        <w:t xml:space="preserve"> </w:t>
      </w:r>
      <w:r w:rsidR="006D4109" w:rsidRPr="002B1F65">
        <w:rPr>
          <w:kern w:val="22"/>
          <w:szCs w:val="22"/>
        </w:rPr>
        <w:t xml:space="preserve">reinforce </w:t>
      </w:r>
      <w:r w:rsidRPr="002B1F65">
        <w:rPr>
          <w:kern w:val="22"/>
          <w:szCs w:val="22"/>
        </w:rPr>
        <w:t>align</w:t>
      </w:r>
      <w:r w:rsidR="006D4109" w:rsidRPr="002B1F65">
        <w:rPr>
          <w:kern w:val="22"/>
          <w:szCs w:val="22"/>
        </w:rPr>
        <w:t>ments</w:t>
      </w:r>
      <w:r w:rsidRPr="002B1F65">
        <w:rPr>
          <w:kern w:val="22"/>
          <w:szCs w:val="22"/>
        </w:rPr>
        <w:t xml:space="preserve"> </w:t>
      </w:r>
      <w:r w:rsidR="005E3883">
        <w:rPr>
          <w:kern w:val="22"/>
          <w:szCs w:val="22"/>
        </w:rPr>
        <w:t>with</w:t>
      </w:r>
      <w:r w:rsidR="005E3883" w:rsidRPr="002B1F65">
        <w:rPr>
          <w:kern w:val="22"/>
          <w:szCs w:val="22"/>
        </w:rPr>
        <w:t xml:space="preserve"> </w:t>
      </w:r>
      <w:r w:rsidR="00CB31D7" w:rsidRPr="002B1F65">
        <w:rPr>
          <w:kern w:val="22"/>
          <w:szCs w:val="22"/>
        </w:rPr>
        <w:t>the post-2020 goals, targets and indicators</w:t>
      </w:r>
      <w:r w:rsidR="00F67334" w:rsidRPr="002B1F65">
        <w:rPr>
          <w:kern w:val="22"/>
          <w:szCs w:val="22"/>
        </w:rPr>
        <w:t xml:space="preserve"> and assessment</w:t>
      </w:r>
      <w:r w:rsidR="00E8488A" w:rsidRPr="002B1F65">
        <w:rPr>
          <w:kern w:val="22"/>
          <w:szCs w:val="22"/>
        </w:rPr>
        <w:t>s</w:t>
      </w:r>
      <w:r w:rsidR="00F67334" w:rsidRPr="002B1F65">
        <w:rPr>
          <w:kern w:val="22"/>
          <w:szCs w:val="22"/>
        </w:rPr>
        <w:t xml:space="preserve"> of the direct and indirect contributions to the post</w:t>
      </w:r>
      <w:r w:rsidR="00E6132A" w:rsidRPr="002B1F65">
        <w:rPr>
          <w:kern w:val="22"/>
          <w:szCs w:val="22"/>
        </w:rPr>
        <w:t>-</w:t>
      </w:r>
      <w:r w:rsidR="00F67334" w:rsidRPr="002B1F65">
        <w:rPr>
          <w:kern w:val="22"/>
          <w:szCs w:val="22"/>
        </w:rPr>
        <w:t>2020 framework.</w:t>
      </w:r>
      <w:r w:rsidR="00CB31D7" w:rsidRPr="002B1F65">
        <w:rPr>
          <w:kern w:val="22"/>
          <w:szCs w:val="22"/>
        </w:rPr>
        <w:t xml:space="preserve"> The Action Agenda could also </w:t>
      </w:r>
      <w:r w:rsidRPr="002B1F65">
        <w:rPr>
          <w:kern w:val="22"/>
          <w:szCs w:val="22"/>
        </w:rPr>
        <w:t xml:space="preserve">be used to </w:t>
      </w:r>
      <w:r w:rsidR="00CB31D7" w:rsidRPr="002B1F65">
        <w:rPr>
          <w:kern w:val="22"/>
          <w:szCs w:val="22"/>
        </w:rPr>
        <w:t>incentivize existing commitments</w:t>
      </w:r>
      <w:r w:rsidR="00E6132A" w:rsidRPr="002B1F65">
        <w:rPr>
          <w:kern w:val="22"/>
          <w:szCs w:val="22"/>
        </w:rPr>
        <w:t xml:space="preserve"> from actors other than national </w:t>
      </w:r>
      <w:r w:rsidR="00202A6B">
        <w:rPr>
          <w:kern w:val="22"/>
          <w:szCs w:val="22"/>
        </w:rPr>
        <w:t>G</w:t>
      </w:r>
      <w:r w:rsidR="00E6132A" w:rsidRPr="002B1F65">
        <w:rPr>
          <w:kern w:val="22"/>
          <w:szCs w:val="22"/>
        </w:rPr>
        <w:t>overnments</w:t>
      </w:r>
      <w:r w:rsidR="00CB31D7" w:rsidRPr="002B1F65">
        <w:rPr>
          <w:kern w:val="22"/>
          <w:szCs w:val="22"/>
        </w:rPr>
        <w:t xml:space="preserve"> and to continue to provide a space for dialogue and exchange on collaborative initiatives, challenges and developments</w:t>
      </w:r>
      <w:r w:rsidR="00E8488A" w:rsidRPr="002B1F65">
        <w:rPr>
          <w:kern w:val="22"/>
          <w:szCs w:val="22"/>
        </w:rPr>
        <w:t xml:space="preserve"> to reach </w:t>
      </w:r>
      <w:r w:rsidR="00857FC0" w:rsidRPr="002B1F65">
        <w:rPr>
          <w:kern w:val="22"/>
          <w:szCs w:val="22"/>
        </w:rPr>
        <w:t xml:space="preserve">the </w:t>
      </w:r>
      <w:r w:rsidR="003E6263" w:rsidRPr="002B1F65">
        <w:rPr>
          <w:kern w:val="22"/>
          <w:szCs w:val="22"/>
        </w:rPr>
        <w:t>framework’s</w:t>
      </w:r>
      <w:r w:rsidR="00857FC0" w:rsidRPr="002B1F65">
        <w:rPr>
          <w:kern w:val="22"/>
          <w:szCs w:val="22"/>
        </w:rPr>
        <w:t xml:space="preserve"> goals and targets</w:t>
      </w:r>
      <w:r w:rsidR="00CB31D7" w:rsidRPr="002B1F65">
        <w:rPr>
          <w:kern w:val="22"/>
          <w:szCs w:val="22"/>
        </w:rPr>
        <w:t>.</w:t>
      </w:r>
    </w:p>
    <w:p w14:paraId="7509B4A4" w14:textId="294C41CC" w:rsidR="00CB31D7" w:rsidRPr="002B1F65" w:rsidRDefault="00CB31D7" w:rsidP="002B1F65">
      <w:pPr>
        <w:pStyle w:val="Para1"/>
        <w:numPr>
          <w:ilvl w:val="0"/>
          <w:numId w:val="9"/>
        </w:numPr>
        <w:tabs>
          <w:tab w:val="clear" w:pos="360"/>
        </w:tabs>
        <w:rPr>
          <w:kern w:val="22"/>
          <w:szCs w:val="22"/>
        </w:rPr>
      </w:pPr>
      <w:r w:rsidRPr="002B1F65">
        <w:rPr>
          <w:kern w:val="22"/>
          <w:szCs w:val="22"/>
        </w:rPr>
        <w:t>T</w:t>
      </w:r>
      <w:r w:rsidR="00F67334" w:rsidRPr="002B1F65">
        <w:rPr>
          <w:kern w:val="22"/>
          <w:szCs w:val="22"/>
        </w:rPr>
        <w:t xml:space="preserve">he following conditions are </w:t>
      </w:r>
      <w:r w:rsidR="007A3D69" w:rsidRPr="002B1F65">
        <w:rPr>
          <w:kern w:val="22"/>
          <w:szCs w:val="22"/>
        </w:rPr>
        <w:t xml:space="preserve">proposed </w:t>
      </w:r>
      <w:r w:rsidR="0020259C" w:rsidRPr="002B1F65">
        <w:rPr>
          <w:kern w:val="22"/>
          <w:szCs w:val="22"/>
        </w:rPr>
        <w:t>so that</w:t>
      </w:r>
      <w:r w:rsidR="00A86D10" w:rsidRPr="002B1F65">
        <w:rPr>
          <w:kern w:val="22"/>
          <w:szCs w:val="22"/>
        </w:rPr>
        <w:t xml:space="preserve"> </w:t>
      </w:r>
      <w:r w:rsidRPr="002B1F65">
        <w:rPr>
          <w:kern w:val="22"/>
          <w:szCs w:val="22"/>
        </w:rPr>
        <w:t xml:space="preserve">biodiversity commitments and impacts from </w:t>
      </w:r>
      <w:r w:rsidR="00825BD2" w:rsidRPr="002B1F65">
        <w:rPr>
          <w:kern w:val="22"/>
          <w:szCs w:val="22"/>
        </w:rPr>
        <w:t xml:space="preserve">actors other than national </w:t>
      </w:r>
      <w:r w:rsidR="001A692A">
        <w:rPr>
          <w:kern w:val="22"/>
          <w:szCs w:val="22"/>
        </w:rPr>
        <w:t>G</w:t>
      </w:r>
      <w:r w:rsidR="00825BD2" w:rsidRPr="002B1F65">
        <w:rPr>
          <w:kern w:val="22"/>
          <w:szCs w:val="22"/>
        </w:rPr>
        <w:t>overnments</w:t>
      </w:r>
      <w:r w:rsidR="0020259C" w:rsidRPr="002B1F65">
        <w:rPr>
          <w:kern w:val="22"/>
          <w:szCs w:val="22"/>
        </w:rPr>
        <w:t xml:space="preserve"> can be analy</w:t>
      </w:r>
      <w:r w:rsidR="00202A6B">
        <w:rPr>
          <w:kern w:val="22"/>
          <w:szCs w:val="22"/>
        </w:rPr>
        <w:t>s</w:t>
      </w:r>
      <w:r w:rsidR="0020259C" w:rsidRPr="002B1F65">
        <w:rPr>
          <w:kern w:val="22"/>
          <w:szCs w:val="22"/>
        </w:rPr>
        <w:t>ed and accounted for</w:t>
      </w:r>
      <w:r w:rsidRPr="002B1F65">
        <w:rPr>
          <w:kern w:val="22"/>
          <w:szCs w:val="22"/>
        </w:rPr>
        <w:t xml:space="preserve"> in a manner that corresponds to the goals and targets of the post-2020 global biodiversity framework</w:t>
      </w:r>
      <w:r w:rsidR="00F67334" w:rsidRPr="002B1F65">
        <w:rPr>
          <w:kern w:val="22"/>
          <w:szCs w:val="22"/>
        </w:rPr>
        <w:t xml:space="preserve"> in the context of an enhanced planning, monitoring, review and reporting framework:</w:t>
      </w:r>
    </w:p>
    <w:p w14:paraId="1063F1A4" w14:textId="231FB62D" w:rsidR="00CB31D7" w:rsidRPr="002B1F65" w:rsidRDefault="00F67334" w:rsidP="002B1F65">
      <w:pPr>
        <w:pStyle w:val="Para1"/>
        <w:numPr>
          <w:ilvl w:val="0"/>
          <w:numId w:val="6"/>
        </w:numPr>
        <w:ind w:left="0" w:firstLine="720"/>
        <w:rPr>
          <w:kern w:val="22"/>
          <w:szCs w:val="22"/>
        </w:rPr>
      </w:pPr>
      <w:r w:rsidRPr="002B1F65">
        <w:rPr>
          <w:kern w:val="22"/>
          <w:szCs w:val="22"/>
        </w:rPr>
        <w:t>Standardized</w:t>
      </w:r>
      <w:r w:rsidR="00CB31D7" w:rsidRPr="002B1F65">
        <w:rPr>
          <w:kern w:val="22"/>
          <w:szCs w:val="22"/>
        </w:rPr>
        <w:t xml:space="preserve"> guidelines</w:t>
      </w:r>
      <w:r w:rsidRPr="002B1F65">
        <w:rPr>
          <w:kern w:val="22"/>
          <w:szCs w:val="22"/>
        </w:rPr>
        <w:t xml:space="preserve"> and templates for </w:t>
      </w:r>
      <w:r w:rsidR="00CB31D7" w:rsidRPr="002B1F65">
        <w:rPr>
          <w:kern w:val="22"/>
          <w:szCs w:val="22"/>
        </w:rPr>
        <w:t>report</w:t>
      </w:r>
      <w:r w:rsidRPr="002B1F65">
        <w:rPr>
          <w:kern w:val="22"/>
          <w:szCs w:val="22"/>
        </w:rPr>
        <w:t>ing</w:t>
      </w:r>
      <w:r w:rsidR="00CB31D7" w:rsidRPr="002B1F65">
        <w:rPr>
          <w:kern w:val="22"/>
          <w:szCs w:val="22"/>
        </w:rPr>
        <w:t xml:space="preserve"> and verify</w:t>
      </w:r>
      <w:r w:rsidRPr="002B1F65">
        <w:rPr>
          <w:kern w:val="22"/>
          <w:szCs w:val="22"/>
        </w:rPr>
        <w:t>ing</w:t>
      </w:r>
      <w:r w:rsidR="00CB31D7" w:rsidRPr="002B1F65">
        <w:rPr>
          <w:kern w:val="22"/>
          <w:szCs w:val="22"/>
        </w:rPr>
        <w:t xml:space="preserve"> commitments </w:t>
      </w:r>
      <w:r w:rsidRPr="002B1F65">
        <w:rPr>
          <w:kern w:val="22"/>
          <w:szCs w:val="22"/>
        </w:rPr>
        <w:t xml:space="preserve">which can be used to improve </w:t>
      </w:r>
      <w:r w:rsidR="00CB31D7" w:rsidRPr="002B1F65">
        <w:rPr>
          <w:kern w:val="22"/>
          <w:szCs w:val="22"/>
        </w:rPr>
        <w:t xml:space="preserve">global level </w:t>
      </w:r>
      <w:r w:rsidRPr="002B1F65">
        <w:rPr>
          <w:kern w:val="22"/>
          <w:szCs w:val="22"/>
        </w:rPr>
        <w:t xml:space="preserve">analysis </w:t>
      </w:r>
      <w:r w:rsidR="00CB31D7" w:rsidRPr="002B1F65">
        <w:rPr>
          <w:kern w:val="22"/>
          <w:szCs w:val="22"/>
        </w:rPr>
        <w:t>and aggregati</w:t>
      </w:r>
      <w:r w:rsidRPr="002B1F65">
        <w:rPr>
          <w:kern w:val="22"/>
          <w:szCs w:val="22"/>
        </w:rPr>
        <w:t>on</w:t>
      </w:r>
      <w:r w:rsidR="00CB31D7" w:rsidRPr="002B1F65">
        <w:rPr>
          <w:kern w:val="22"/>
          <w:szCs w:val="22"/>
        </w:rPr>
        <w:t xml:space="preserve"> into coalition stocktakes and gap reports</w:t>
      </w:r>
      <w:r w:rsidRPr="002B1F65">
        <w:rPr>
          <w:kern w:val="22"/>
          <w:szCs w:val="22"/>
        </w:rPr>
        <w:t>. This could also help</w:t>
      </w:r>
      <w:r w:rsidR="00CB31D7" w:rsidRPr="002B1F65">
        <w:rPr>
          <w:kern w:val="22"/>
          <w:szCs w:val="22"/>
        </w:rPr>
        <w:t xml:space="preserve"> facilitat</w:t>
      </w:r>
      <w:r w:rsidRPr="002B1F65">
        <w:rPr>
          <w:kern w:val="22"/>
          <w:szCs w:val="22"/>
        </w:rPr>
        <w:t>e</w:t>
      </w:r>
      <w:r w:rsidR="00CB31D7" w:rsidRPr="002B1F65">
        <w:rPr>
          <w:kern w:val="22"/>
          <w:szCs w:val="22"/>
        </w:rPr>
        <w:t xml:space="preserve"> access to information which can be used as a basis for national and regional a</w:t>
      </w:r>
      <w:r w:rsidRPr="002B1F65">
        <w:rPr>
          <w:kern w:val="22"/>
          <w:szCs w:val="22"/>
        </w:rPr>
        <w:t>nalys</w:t>
      </w:r>
      <w:r w:rsidR="00A1743D">
        <w:rPr>
          <w:kern w:val="22"/>
          <w:szCs w:val="22"/>
        </w:rPr>
        <w:t>e</w:t>
      </w:r>
      <w:r w:rsidRPr="002B1F65">
        <w:rPr>
          <w:kern w:val="22"/>
          <w:szCs w:val="22"/>
        </w:rPr>
        <w:t>s</w:t>
      </w:r>
      <w:r w:rsidR="002B7D9C" w:rsidRPr="00F137C0">
        <w:rPr>
          <w:kern w:val="22"/>
          <w:szCs w:val="22"/>
        </w:rPr>
        <w:t>;</w:t>
      </w:r>
    </w:p>
    <w:p w14:paraId="6539D001" w14:textId="42936614" w:rsidR="00CB31D7" w:rsidRPr="002B1F65" w:rsidRDefault="00F67334" w:rsidP="002B1F65">
      <w:pPr>
        <w:pStyle w:val="Para1"/>
        <w:numPr>
          <w:ilvl w:val="0"/>
          <w:numId w:val="6"/>
        </w:numPr>
        <w:ind w:left="0" w:firstLine="720"/>
        <w:rPr>
          <w:kern w:val="22"/>
          <w:szCs w:val="22"/>
        </w:rPr>
      </w:pPr>
      <w:r w:rsidRPr="002B1F65">
        <w:rPr>
          <w:kern w:val="22"/>
          <w:szCs w:val="22"/>
        </w:rPr>
        <w:t>Developing</w:t>
      </w:r>
      <w:r w:rsidR="00CB31D7" w:rsidRPr="002B1F65">
        <w:rPr>
          <w:kern w:val="22"/>
          <w:szCs w:val="22"/>
        </w:rPr>
        <w:t xml:space="preserve"> and promoting the use of metrics, </w:t>
      </w:r>
      <w:r w:rsidR="00911179" w:rsidRPr="002B1F65">
        <w:rPr>
          <w:kern w:val="22"/>
          <w:szCs w:val="22"/>
        </w:rPr>
        <w:t>as per the</w:t>
      </w:r>
      <w:r w:rsidR="00CB31D7" w:rsidRPr="002B1F65">
        <w:rPr>
          <w:kern w:val="22"/>
          <w:szCs w:val="22"/>
        </w:rPr>
        <w:t xml:space="preserve"> methodology under the </w:t>
      </w:r>
      <w:r w:rsidR="00911179" w:rsidRPr="002B1F65">
        <w:rPr>
          <w:kern w:val="22"/>
          <w:szCs w:val="22"/>
        </w:rPr>
        <w:t>Science-Based Target</w:t>
      </w:r>
      <w:r w:rsidR="003827F4">
        <w:rPr>
          <w:kern w:val="22"/>
          <w:szCs w:val="22"/>
        </w:rPr>
        <w:t>s</w:t>
      </w:r>
      <w:r w:rsidR="00911179" w:rsidRPr="002B1F65">
        <w:rPr>
          <w:kern w:val="22"/>
          <w:szCs w:val="22"/>
        </w:rPr>
        <w:t xml:space="preserve"> Initiative (</w:t>
      </w:r>
      <w:r w:rsidR="00CB31D7" w:rsidRPr="002B1F65">
        <w:rPr>
          <w:kern w:val="22"/>
          <w:szCs w:val="22"/>
        </w:rPr>
        <w:t>SBT</w:t>
      </w:r>
      <w:r w:rsidR="004A64DA">
        <w:rPr>
          <w:kern w:val="22"/>
          <w:szCs w:val="22"/>
        </w:rPr>
        <w:t>i</w:t>
      </w:r>
      <w:r w:rsidR="00911179" w:rsidRPr="002B1F65">
        <w:rPr>
          <w:kern w:val="22"/>
          <w:szCs w:val="22"/>
        </w:rPr>
        <w:t>)</w:t>
      </w:r>
      <w:r w:rsidR="000B75FE" w:rsidRPr="002B1F65">
        <w:rPr>
          <w:kern w:val="22"/>
          <w:szCs w:val="22"/>
        </w:rPr>
        <w:t xml:space="preserve">, the Task Force on Nature-related Financial Disclosures (TNFD) </w:t>
      </w:r>
      <w:r w:rsidR="00341515" w:rsidRPr="002B1F65">
        <w:rPr>
          <w:kern w:val="22"/>
          <w:szCs w:val="22"/>
        </w:rPr>
        <w:t>and other me</w:t>
      </w:r>
      <w:r w:rsidR="00FD2E12" w:rsidRPr="002B1F65">
        <w:rPr>
          <w:kern w:val="22"/>
          <w:szCs w:val="22"/>
        </w:rPr>
        <w:t>thodologies</w:t>
      </w:r>
      <w:r w:rsidR="00CB31D7" w:rsidRPr="002B1F65">
        <w:rPr>
          <w:kern w:val="22"/>
          <w:szCs w:val="22"/>
        </w:rPr>
        <w:t xml:space="preserve">, for corporate and subnational and local authorities. </w:t>
      </w:r>
      <w:r w:rsidR="000B75FE" w:rsidRPr="002B1F65">
        <w:rPr>
          <w:kern w:val="22"/>
          <w:szCs w:val="22"/>
        </w:rPr>
        <w:t>This may include the identification and monitoring of dependencies and impacts on biodiversity by corporate and other entities</w:t>
      </w:r>
      <w:r w:rsidR="002B7D9C" w:rsidRPr="00F137C0">
        <w:rPr>
          <w:kern w:val="22"/>
          <w:szCs w:val="22"/>
        </w:rPr>
        <w:t>;</w:t>
      </w:r>
    </w:p>
    <w:p w14:paraId="75EDB5BD" w14:textId="7A121F7F" w:rsidR="00CB31D7" w:rsidRPr="002B1F65" w:rsidRDefault="00CB31D7" w:rsidP="002B1F65">
      <w:pPr>
        <w:pStyle w:val="Para1"/>
        <w:numPr>
          <w:ilvl w:val="0"/>
          <w:numId w:val="6"/>
        </w:numPr>
        <w:ind w:left="0" w:firstLine="720"/>
        <w:rPr>
          <w:kern w:val="22"/>
          <w:szCs w:val="22"/>
        </w:rPr>
      </w:pPr>
      <w:commentRangeStart w:id="5"/>
      <w:r w:rsidRPr="002B1F65">
        <w:rPr>
          <w:kern w:val="22"/>
          <w:szCs w:val="22"/>
        </w:rPr>
        <w:lastRenderedPageBreak/>
        <w:t>Encouraging those actors who have yet to submit commitments</w:t>
      </w:r>
      <w:r w:rsidR="002B7D9C" w:rsidRPr="00F137C0">
        <w:rPr>
          <w:kern w:val="22"/>
          <w:szCs w:val="22"/>
        </w:rPr>
        <w:t>,</w:t>
      </w:r>
      <w:r w:rsidRPr="002B1F65">
        <w:rPr>
          <w:rStyle w:val="Appelnotedebasdep"/>
          <w:kern w:val="22"/>
          <w:szCs w:val="22"/>
        </w:rPr>
        <w:footnoteReference w:id="5"/>
      </w:r>
      <w:r w:rsidRPr="002B1F65">
        <w:rPr>
          <w:kern w:val="22"/>
          <w:szCs w:val="22"/>
        </w:rPr>
        <w:t xml:space="preserve"> to do so underscoring actions that address one or more specific post-2020 target(s), within one</w:t>
      </w:r>
      <w:r w:rsidR="001A3843" w:rsidRPr="002B1F65">
        <w:rPr>
          <w:kern w:val="22"/>
          <w:szCs w:val="22"/>
        </w:rPr>
        <w:t xml:space="preserve"> </w:t>
      </w:r>
      <w:r w:rsidRPr="002B1F65">
        <w:rPr>
          <w:kern w:val="22"/>
          <w:szCs w:val="22"/>
        </w:rPr>
        <w:t xml:space="preserve">year after the adoption of the </w:t>
      </w:r>
      <w:r w:rsidR="001A3843" w:rsidRPr="002B1F65">
        <w:rPr>
          <w:kern w:val="22"/>
          <w:szCs w:val="22"/>
        </w:rPr>
        <w:t xml:space="preserve">post-2020 </w:t>
      </w:r>
      <w:r w:rsidRPr="002B1F65">
        <w:rPr>
          <w:kern w:val="22"/>
          <w:szCs w:val="22"/>
        </w:rPr>
        <w:t>global biodiversity framework, in order to align with the cycles of national commitment</w:t>
      </w:r>
      <w:commentRangeEnd w:id="5"/>
      <w:r w:rsidR="00CD34F6">
        <w:rPr>
          <w:rStyle w:val="Marquedecommentaire"/>
          <w:rFonts w:asciiTheme="minorHAnsi" w:eastAsiaTheme="minorEastAsia" w:hAnsiTheme="minorHAnsi" w:cstheme="minorBidi"/>
          <w:lang w:val="en-US"/>
        </w:rPr>
        <w:commentReference w:id="5"/>
      </w:r>
      <w:r w:rsidRPr="002B1F65">
        <w:rPr>
          <w:kern w:val="22"/>
          <w:szCs w:val="22"/>
        </w:rPr>
        <w:t>s and prior to the proposed global gap report to facilitate the analysis of these commitments</w:t>
      </w:r>
      <w:r w:rsidR="002B7D9C" w:rsidRPr="00F137C0">
        <w:rPr>
          <w:kern w:val="22"/>
          <w:szCs w:val="22"/>
        </w:rPr>
        <w:t>;</w:t>
      </w:r>
    </w:p>
    <w:p w14:paraId="3B6A6500" w14:textId="11AB131D" w:rsidR="00CB31D7" w:rsidRPr="002B1F65" w:rsidRDefault="00FE017B" w:rsidP="002B1F65">
      <w:pPr>
        <w:pStyle w:val="Para1"/>
        <w:numPr>
          <w:ilvl w:val="0"/>
          <w:numId w:val="6"/>
        </w:numPr>
        <w:ind w:left="0" w:firstLine="720"/>
        <w:rPr>
          <w:kern w:val="22"/>
          <w:szCs w:val="22"/>
        </w:rPr>
      </w:pPr>
      <w:r w:rsidRPr="002B1F65">
        <w:rPr>
          <w:kern w:val="22"/>
          <w:szCs w:val="22"/>
        </w:rPr>
        <w:t>C</w:t>
      </w:r>
      <w:r w:rsidR="00CB31D7" w:rsidRPr="002B1F65">
        <w:rPr>
          <w:kern w:val="22"/>
          <w:szCs w:val="22"/>
        </w:rPr>
        <w:t>ontinuing to collate standardized commitments</w:t>
      </w:r>
      <w:r w:rsidR="00F67334" w:rsidRPr="002B1F65">
        <w:rPr>
          <w:kern w:val="22"/>
          <w:szCs w:val="22"/>
        </w:rPr>
        <w:t xml:space="preserve"> from actors other than national </w:t>
      </w:r>
      <w:r w:rsidR="00584FA2">
        <w:rPr>
          <w:kern w:val="22"/>
          <w:szCs w:val="22"/>
        </w:rPr>
        <w:t>G</w:t>
      </w:r>
      <w:r w:rsidR="00F67334" w:rsidRPr="002B1F65">
        <w:rPr>
          <w:kern w:val="22"/>
          <w:szCs w:val="22"/>
        </w:rPr>
        <w:t>overnments</w:t>
      </w:r>
      <w:r w:rsidR="00CB31D7" w:rsidRPr="002B1F65">
        <w:rPr>
          <w:kern w:val="22"/>
          <w:szCs w:val="22"/>
        </w:rPr>
        <w:t>, and</w:t>
      </w:r>
      <w:r w:rsidR="00F67334" w:rsidRPr="002B1F65">
        <w:rPr>
          <w:kern w:val="22"/>
          <w:szCs w:val="22"/>
        </w:rPr>
        <w:t xml:space="preserve"> </w:t>
      </w:r>
      <w:r w:rsidRPr="002B1F65">
        <w:rPr>
          <w:kern w:val="22"/>
          <w:szCs w:val="22"/>
        </w:rPr>
        <w:t xml:space="preserve">refining and enhancing interoperability, as needed, </w:t>
      </w:r>
      <w:r w:rsidR="00F67334" w:rsidRPr="002B1F65">
        <w:rPr>
          <w:kern w:val="22"/>
          <w:szCs w:val="22"/>
        </w:rPr>
        <w:t>to</w:t>
      </w:r>
      <w:r w:rsidR="00CB31D7" w:rsidRPr="002B1F65">
        <w:rPr>
          <w:kern w:val="22"/>
          <w:szCs w:val="22"/>
        </w:rPr>
        <w:t xml:space="preserve"> expand the integrated search function under the Action Agenda</w:t>
      </w:r>
      <w:r w:rsidR="00F67334" w:rsidRPr="002B1F65">
        <w:rPr>
          <w:kern w:val="22"/>
          <w:szCs w:val="22"/>
        </w:rPr>
        <w:t xml:space="preserve"> and t</w:t>
      </w:r>
      <w:r w:rsidR="00FE57FD" w:rsidRPr="002B1F65">
        <w:rPr>
          <w:kern w:val="22"/>
          <w:szCs w:val="22"/>
        </w:rPr>
        <w:t>ake measures to</w:t>
      </w:r>
      <w:r w:rsidR="00CB31D7" w:rsidRPr="002B1F65">
        <w:rPr>
          <w:kern w:val="22"/>
          <w:szCs w:val="22"/>
        </w:rPr>
        <w:t xml:space="preserve"> avoid double counting</w:t>
      </w:r>
      <w:r w:rsidR="002B7D9C" w:rsidRPr="00F137C0">
        <w:rPr>
          <w:kern w:val="22"/>
          <w:szCs w:val="22"/>
        </w:rPr>
        <w:t>;</w:t>
      </w:r>
    </w:p>
    <w:p w14:paraId="7BB18212" w14:textId="59C0DD6C" w:rsidR="00CB31D7" w:rsidRPr="002B1F65" w:rsidRDefault="00CB31D7" w:rsidP="002B1F65">
      <w:pPr>
        <w:pStyle w:val="Para1"/>
        <w:numPr>
          <w:ilvl w:val="0"/>
          <w:numId w:val="6"/>
        </w:numPr>
        <w:ind w:left="0" w:firstLine="720"/>
        <w:rPr>
          <w:kern w:val="22"/>
          <w:szCs w:val="22"/>
        </w:rPr>
      </w:pPr>
      <w:r w:rsidRPr="002B1F65">
        <w:rPr>
          <w:kern w:val="22"/>
          <w:szCs w:val="22"/>
        </w:rPr>
        <w:t xml:space="preserve">Enhancing collaboration with related multilateral environmental agreements and intergovernmental sustainability processes working with </w:t>
      </w:r>
      <w:r w:rsidR="00C621A2" w:rsidRPr="002B1F65">
        <w:rPr>
          <w:kern w:val="22"/>
          <w:szCs w:val="22"/>
        </w:rPr>
        <w:t xml:space="preserve">actors other than national </w:t>
      </w:r>
      <w:r w:rsidR="0095624E" w:rsidRPr="00E874F2">
        <w:rPr>
          <w:kern w:val="22"/>
          <w:szCs w:val="22"/>
        </w:rPr>
        <w:t>G</w:t>
      </w:r>
      <w:r w:rsidR="00C621A2" w:rsidRPr="002B1F65">
        <w:rPr>
          <w:kern w:val="22"/>
          <w:szCs w:val="22"/>
        </w:rPr>
        <w:t xml:space="preserve">overnments </w:t>
      </w:r>
      <w:r w:rsidRPr="002B1F65">
        <w:rPr>
          <w:kern w:val="22"/>
          <w:szCs w:val="22"/>
        </w:rPr>
        <w:t>and multi-stakeholder initiatives, inter alia, to benefit from cross-thematic stocktakes and dialogues</w:t>
      </w:r>
      <w:r w:rsidR="00D769E4" w:rsidRPr="002B1F65">
        <w:rPr>
          <w:kern w:val="22"/>
          <w:szCs w:val="22"/>
        </w:rPr>
        <w:t xml:space="preserve"> and to </w:t>
      </w:r>
      <w:r w:rsidRPr="002B1F65">
        <w:rPr>
          <w:kern w:val="22"/>
          <w:szCs w:val="22"/>
        </w:rPr>
        <w:t>identify and promote sector specific reporting; among other pilot project activities associated with non-</w:t>
      </w:r>
      <w:r w:rsidR="0081792C" w:rsidRPr="00E874F2">
        <w:rPr>
          <w:kern w:val="22"/>
          <w:szCs w:val="22"/>
        </w:rPr>
        <w:t>S</w:t>
      </w:r>
      <w:r w:rsidRPr="002B1F65">
        <w:rPr>
          <w:kern w:val="22"/>
          <w:szCs w:val="22"/>
        </w:rPr>
        <w:t>tate actors (</w:t>
      </w:r>
      <w:r w:rsidR="0081792C" w:rsidRPr="00E874F2">
        <w:rPr>
          <w:kern w:val="22"/>
          <w:szCs w:val="22"/>
        </w:rPr>
        <w:t>such as</w:t>
      </w:r>
      <w:r w:rsidRPr="002B1F65">
        <w:rPr>
          <w:kern w:val="22"/>
          <w:szCs w:val="22"/>
        </w:rPr>
        <w:t xml:space="preserve"> TNFD, </w:t>
      </w:r>
      <w:r w:rsidR="00B327CF" w:rsidRPr="00E874F2">
        <w:rPr>
          <w:kern w:val="22"/>
          <w:szCs w:val="22"/>
        </w:rPr>
        <w:t>Science-based Targets Network (</w:t>
      </w:r>
      <w:r w:rsidRPr="002B1F65">
        <w:rPr>
          <w:kern w:val="22"/>
          <w:szCs w:val="22"/>
        </w:rPr>
        <w:t>SBTN</w:t>
      </w:r>
      <w:r w:rsidR="00B327CF" w:rsidRPr="00E874F2">
        <w:rPr>
          <w:kern w:val="22"/>
          <w:szCs w:val="22"/>
        </w:rPr>
        <w:t>)</w:t>
      </w:r>
      <w:r w:rsidRPr="002B1F65">
        <w:rPr>
          <w:kern w:val="22"/>
          <w:szCs w:val="22"/>
        </w:rPr>
        <w:t xml:space="preserve">, </w:t>
      </w:r>
      <w:r w:rsidR="00337679" w:rsidRPr="00E874F2">
        <w:rPr>
          <w:kern w:val="22"/>
          <w:szCs w:val="22"/>
        </w:rPr>
        <w:t>t</w:t>
      </w:r>
      <w:r w:rsidR="00911179" w:rsidRPr="002B1F65">
        <w:rPr>
          <w:kern w:val="22"/>
          <w:szCs w:val="22"/>
        </w:rPr>
        <w:t xml:space="preserve">he </w:t>
      </w:r>
      <w:r w:rsidRPr="002B1F65">
        <w:rPr>
          <w:kern w:val="22"/>
          <w:szCs w:val="22"/>
        </w:rPr>
        <w:t xml:space="preserve">pledge </w:t>
      </w:r>
      <w:r w:rsidR="00911179" w:rsidRPr="002B1F65">
        <w:rPr>
          <w:kern w:val="22"/>
          <w:szCs w:val="22"/>
        </w:rPr>
        <w:t xml:space="preserve">by </w:t>
      </w:r>
      <w:r w:rsidR="00900C73" w:rsidRPr="00E874F2">
        <w:rPr>
          <w:kern w:val="22"/>
          <w:szCs w:val="22"/>
        </w:rPr>
        <w:t>m</w:t>
      </w:r>
      <w:r w:rsidR="00911179" w:rsidRPr="002B1F65">
        <w:rPr>
          <w:kern w:val="22"/>
          <w:szCs w:val="22"/>
        </w:rPr>
        <w:t xml:space="preserve">ultilateral </w:t>
      </w:r>
      <w:r w:rsidR="00900C73" w:rsidRPr="00E874F2">
        <w:rPr>
          <w:kern w:val="22"/>
          <w:szCs w:val="22"/>
        </w:rPr>
        <w:t>d</w:t>
      </w:r>
      <w:r w:rsidR="00911179" w:rsidRPr="002B1F65">
        <w:rPr>
          <w:kern w:val="22"/>
          <w:szCs w:val="22"/>
        </w:rPr>
        <w:t xml:space="preserve">evelopment </w:t>
      </w:r>
      <w:r w:rsidR="00900C73" w:rsidRPr="00E874F2">
        <w:rPr>
          <w:kern w:val="22"/>
          <w:szCs w:val="22"/>
        </w:rPr>
        <w:t>b</w:t>
      </w:r>
      <w:r w:rsidR="00911179" w:rsidRPr="002B1F65">
        <w:rPr>
          <w:kern w:val="22"/>
          <w:szCs w:val="22"/>
        </w:rPr>
        <w:t xml:space="preserve">anks </w:t>
      </w:r>
      <w:r w:rsidRPr="002B1F65">
        <w:rPr>
          <w:kern w:val="22"/>
          <w:szCs w:val="22"/>
        </w:rPr>
        <w:t xml:space="preserve">on </w:t>
      </w:r>
      <w:r w:rsidR="00337679" w:rsidRPr="00E874F2">
        <w:rPr>
          <w:kern w:val="22"/>
          <w:szCs w:val="22"/>
        </w:rPr>
        <w:t>b</w:t>
      </w:r>
      <w:r w:rsidRPr="002B1F65">
        <w:rPr>
          <w:kern w:val="22"/>
          <w:szCs w:val="22"/>
        </w:rPr>
        <w:t xml:space="preserve">iodiversity and </w:t>
      </w:r>
      <w:r w:rsidR="00337679" w:rsidRPr="00E874F2">
        <w:rPr>
          <w:kern w:val="22"/>
          <w:szCs w:val="22"/>
        </w:rPr>
        <w:t>c</w:t>
      </w:r>
      <w:r w:rsidRPr="002B1F65">
        <w:rPr>
          <w:kern w:val="22"/>
          <w:szCs w:val="22"/>
        </w:rPr>
        <w:t xml:space="preserve">limate, </w:t>
      </w:r>
      <w:r w:rsidR="008A39C4" w:rsidRPr="00E874F2">
        <w:rPr>
          <w:kern w:val="22"/>
          <w:szCs w:val="22"/>
        </w:rPr>
        <w:t xml:space="preserve">the </w:t>
      </w:r>
      <w:r w:rsidR="007B03EA" w:rsidRPr="002B1F65">
        <w:rPr>
          <w:kern w:val="22"/>
          <w:szCs w:val="22"/>
          <w:lang w:eastAsia="en-CA"/>
        </w:rPr>
        <w:t>Protecting Our Planet Challenge,</w:t>
      </w:r>
      <w:r w:rsidR="007B03EA" w:rsidRPr="009A2A96">
        <w:rPr>
          <w:rStyle w:val="Lienhypertexte"/>
          <w:color w:val="auto"/>
          <w:kern w:val="22"/>
          <w:szCs w:val="22"/>
          <w:u w:val="none"/>
          <w:lang w:eastAsia="en-CA"/>
        </w:rPr>
        <w:t xml:space="preserve"> </w:t>
      </w:r>
      <w:r w:rsidR="008A39C4" w:rsidRPr="009A2A96">
        <w:rPr>
          <w:rStyle w:val="Lienhypertexte"/>
          <w:color w:val="auto"/>
          <w:kern w:val="22"/>
          <w:szCs w:val="22"/>
          <w:u w:val="none"/>
          <w:lang w:eastAsia="en-CA"/>
        </w:rPr>
        <w:t xml:space="preserve">the </w:t>
      </w:r>
      <w:r w:rsidR="00667A5D" w:rsidRPr="002B1F65">
        <w:rPr>
          <w:kern w:val="22"/>
          <w:szCs w:val="22"/>
        </w:rPr>
        <w:t xml:space="preserve">Ocean Risk and Resilience </w:t>
      </w:r>
      <w:r w:rsidR="00B965A9" w:rsidRPr="002B1F65">
        <w:rPr>
          <w:kern w:val="22"/>
          <w:szCs w:val="22"/>
        </w:rPr>
        <w:t>Action Alliance</w:t>
      </w:r>
      <w:r w:rsidR="006D5D90" w:rsidRPr="00E874F2">
        <w:rPr>
          <w:kern w:val="22"/>
          <w:szCs w:val="22"/>
        </w:rPr>
        <w:t>,</w:t>
      </w:r>
      <w:r w:rsidR="00B26851" w:rsidRPr="002B1F65">
        <w:rPr>
          <w:kern w:val="22"/>
          <w:szCs w:val="22"/>
        </w:rPr>
        <w:t xml:space="preserve"> </w:t>
      </w:r>
      <w:r w:rsidR="006D5D90" w:rsidRPr="00E874F2">
        <w:rPr>
          <w:kern w:val="22"/>
          <w:szCs w:val="22"/>
        </w:rPr>
        <w:t xml:space="preserve">the </w:t>
      </w:r>
      <w:r w:rsidR="00F300C2" w:rsidRPr="002B1F65">
        <w:rPr>
          <w:kern w:val="22"/>
          <w:szCs w:val="22"/>
        </w:rPr>
        <w:t>Clydebank Initiative for Green Shipping Corridors,</w:t>
      </w:r>
      <w:r w:rsidR="00E567B6" w:rsidRPr="002B1F65">
        <w:rPr>
          <w:kern w:val="22"/>
          <w:szCs w:val="22"/>
        </w:rPr>
        <w:t xml:space="preserve"> </w:t>
      </w:r>
      <w:r w:rsidR="006D5D90" w:rsidRPr="00E874F2">
        <w:rPr>
          <w:kern w:val="22"/>
          <w:szCs w:val="22"/>
        </w:rPr>
        <w:t xml:space="preserve">and the </w:t>
      </w:r>
      <w:r w:rsidR="003D432C" w:rsidRPr="003D432C">
        <w:rPr>
          <w:kern w:val="22"/>
          <w:szCs w:val="22"/>
        </w:rPr>
        <w:t>Glasgow Leaders' Declaration on Forest and Land Use</w:t>
      </w:r>
      <w:r w:rsidR="00E567B6" w:rsidRPr="002B1F65">
        <w:rPr>
          <w:kern w:val="22"/>
          <w:szCs w:val="22"/>
        </w:rPr>
        <w:t xml:space="preserve">, </w:t>
      </w:r>
      <w:r w:rsidRPr="002B1F65">
        <w:rPr>
          <w:kern w:val="22"/>
          <w:szCs w:val="22"/>
        </w:rPr>
        <w:t>etc.)</w:t>
      </w:r>
      <w:r w:rsidR="006B6E9D" w:rsidRPr="00E874F2">
        <w:rPr>
          <w:kern w:val="22"/>
          <w:szCs w:val="22"/>
        </w:rPr>
        <w:t>.</w:t>
      </w:r>
    </w:p>
    <w:p w14:paraId="767421F2" w14:textId="064A8293" w:rsidR="00CB31D7" w:rsidRPr="002B1F65" w:rsidRDefault="006A68DE" w:rsidP="002B1F65">
      <w:pPr>
        <w:pStyle w:val="Para1"/>
        <w:numPr>
          <w:ilvl w:val="0"/>
          <w:numId w:val="9"/>
        </w:numPr>
        <w:tabs>
          <w:tab w:val="clear" w:pos="360"/>
        </w:tabs>
        <w:rPr>
          <w:kern w:val="22"/>
          <w:szCs w:val="22"/>
          <w:shd w:val="clear" w:color="auto" w:fill="FFFFFF"/>
        </w:rPr>
      </w:pPr>
      <w:r w:rsidRPr="002B1F65">
        <w:rPr>
          <w:kern w:val="22"/>
          <w:szCs w:val="22"/>
          <w:shd w:val="clear" w:color="auto" w:fill="FFFFFF"/>
        </w:rPr>
        <w:t>Guidelines and t</w:t>
      </w:r>
      <w:r w:rsidR="00FE57FD" w:rsidRPr="002B1F65">
        <w:rPr>
          <w:kern w:val="22"/>
          <w:szCs w:val="22"/>
          <w:shd w:val="clear" w:color="auto" w:fill="FFFFFF"/>
        </w:rPr>
        <w:t xml:space="preserve">emplates </w:t>
      </w:r>
      <w:r w:rsidRPr="002B1F65">
        <w:rPr>
          <w:kern w:val="22"/>
          <w:szCs w:val="22"/>
        </w:rPr>
        <w:t xml:space="preserve">for reporting and verifying commitments </w:t>
      </w:r>
      <w:r w:rsidR="00FE57FD" w:rsidRPr="002B1F65">
        <w:rPr>
          <w:kern w:val="22"/>
          <w:szCs w:val="22"/>
          <w:shd w:val="clear" w:color="auto" w:fill="FFFFFF"/>
        </w:rPr>
        <w:t>are being developed</w:t>
      </w:r>
      <w:r w:rsidR="002C33BA" w:rsidRPr="002B1F65">
        <w:rPr>
          <w:kern w:val="22"/>
          <w:szCs w:val="22"/>
          <w:shd w:val="clear" w:color="auto" w:fill="FFFFFF"/>
        </w:rPr>
        <w:t xml:space="preserve"> by the </w:t>
      </w:r>
      <w:r w:rsidR="00FE57FD" w:rsidRPr="002B1F65">
        <w:rPr>
          <w:kern w:val="22"/>
          <w:szCs w:val="22"/>
          <w:shd w:val="clear" w:color="auto" w:fill="FFFFFF"/>
        </w:rPr>
        <w:t xml:space="preserve">coalitions of </w:t>
      </w:r>
      <w:r w:rsidR="00B93211" w:rsidRPr="002B1F65">
        <w:rPr>
          <w:kern w:val="22"/>
          <w:szCs w:val="22"/>
        </w:rPr>
        <w:t xml:space="preserve">actors other than national </w:t>
      </w:r>
      <w:r w:rsidR="008A0A53" w:rsidRPr="00C71E31">
        <w:rPr>
          <w:kern w:val="22"/>
          <w:szCs w:val="22"/>
        </w:rPr>
        <w:t>G</w:t>
      </w:r>
      <w:r w:rsidR="00B93211" w:rsidRPr="002B1F65">
        <w:rPr>
          <w:kern w:val="22"/>
          <w:szCs w:val="22"/>
        </w:rPr>
        <w:t>overnments</w:t>
      </w:r>
      <w:r w:rsidR="002C33BA" w:rsidRPr="002B1F65">
        <w:rPr>
          <w:kern w:val="22"/>
          <w:szCs w:val="22"/>
        </w:rPr>
        <w:t xml:space="preserve"> in collaboration with the Secretariat</w:t>
      </w:r>
      <w:r w:rsidR="00B93211" w:rsidRPr="002B1F65">
        <w:rPr>
          <w:kern w:val="22"/>
          <w:szCs w:val="22"/>
        </w:rPr>
        <w:t xml:space="preserve"> </w:t>
      </w:r>
      <w:r w:rsidR="00FE57FD" w:rsidRPr="002B1F65">
        <w:rPr>
          <w:kern w:val="22"/>
          <w:szCs w:val="22"/>
          <w:shd w:val="clear" w:color="auto" w:fill="FFFFFF"/>
        </w:rPr>
        <w:t xml:space="preserve">in order to </w:t>
      </w:r>
      <w:r w:rsidR="002C33BA" w:rsidRPr="002B1F65">
        <w:rPr>
          <w:kern w:val="22"/>
          <w:szCs w:val="22"/>
          <w:shd w:val="clear" w:color="auto" w:fill="FFFFFF"/>
        </w:rPr>
        <w:t xml:space="preserve">both meet the needs of particular coalitions and </w:t>
      </w:r>
      <w:r w:rsidR="00CD09B6" w:rsidRPr="002B1F65">
        <w:rPr>
          <w:kern w:val="22"/>
          <w:szCs w:val="22"/>
          <w:shd w:val="clear" w:color="auto" w:fill="FFFFFF"/>
        </w:rPr>
        <w:t>advance the</w:t>
      </w:r>
      <w:r w:rsidR="00FE57FD" w:rsidRPr="002B1F65">
        <w:rPr>
          <w:kern w:val="22"/>
          <w:szCs w:val="22"/>
          <w:shd w:val="clear" w:color="auto" w:fill="FFFFFF"/>
        </w:rPr>
        <w:t xml:space="preserve"> conditions </w:t>
      </w:r>
      <w:r w:rsidR="00CD09B6" w:rsidRPr="002B1F65">
        <w:rPr>
          <w:kern w:val="22"/>
          <w:szCs w:val="22"/>
          <w:shd w:val="clear" w:color="auto" w:fill="FFFFFF"/>
        </w:rPr>
        <w:t>listed in para</w:t>
      </w:r>
      <w:r w:rsidR="007E2A96" w:rsidRPr="00C71E31">
        <w:rPr>
          <w:kern w:val="22"/>
          <w:szCs w:val="22"/>
          <w:shd w:val="clear" w:color="auto" w:fill="FFFFFF"/>
        </w:rPr>
        <w:t>graph</w:t>
      </w:r>
      <w:r w:rsidR="00E874F2" w:rsidRPr="00C71E31">
        <w:rPr>
          <w:kern w:val="22"/>
          <w:szCs w:val="22"/>
          <w:shd w:val="clear" w:color="auto" w:fill="FFFFFF"/>
        </w:rPr>
        <w:t> </w:t>
      </w:r>
      <w:r w:rsidR="00E874F2" w:rsidRPr="002B1F65">
        <w:rPr>
          <w:kern w:val="22"/>
          <w:szCs w:val="22"/>
          <w:shd w:val="clear" w:color="auto" w:fill="FFFFFF"/>
        </w:rPr>
        <w:fldChar w:fldCharType="begin"/>
      </w:r>
      <w:r w:rsidR="00E874F2" w:rsidRPr="002B1F65">
        <w:rPr>
          <w:kern w:val="22"/>
          <w:szCs w:val="22"/>
          <w:shd w:val="clear" w:color="auto" w:fill="FFFFFF"/>
        </w:rPr>
        <w:instrText xml:space="preserve"> REF _Ref92222387 \r \h </w:instrText>
      </w:r>
      <w:r w:rsidR="00F61B4D">
        <w:rPr>
          <w:kern w:val="22"/>
          <w:szCs w:val="22"/>
          <w:shd w:val="clear" w:color="auto" w:fill="FFFFFF"/>
        </w:rPr>
        <w:instrText xml:space="preserve"> \* MERGEFORMAT </w:instrText>
      </w:r>
      <w:r w:rsidR="00E874F2" w:rsidRPr="002B1F65">
        <w:rPr>
          <w:kern w:val="22"/>
          <w:szCs w:val="22"/>
          <w:shd w:val="clear" w:color="auto" w:fill="FFFFFF"/>
        </w:rPr>
      </w:r>
      <w:r w:rsidR="00E874F2" w:rsidRPr="002B1F65">
        <w:rPr>
          <w:kern w:val="22"/>
          <w:szCs w:val="22"/>
          <w:shd w:val="clear" w:color="auto" w:fill="FFFFFF"/>
        </w:rPr>
        <w:fldChar w:fldCharType="separate"/>
      </w:r>
      <w:r w:rsidR="00E874F2" w:rsidRPr="002B1F65">
        <w:rPr>
          <w:kern w:val="22"/>
          <w:szCs w:val="22"/>
          <w:shd w:val="clear" w:color="auto" w:fill="FFFFFF"/>
          <w:cs/>
        </w:rPr>
        <w:t>‎</w:t>
      </w:r>
      <w:r w:rsidR="00E874F2" w:rsidRPr="002B1F65">
        <w:rPr>
          <w:kern w:val="22"/>
          <w:szCs w:val="22"/>
          <w:shd w:val="clear" w:color="auto" w:fill="FFFFFF"/>
        </w:rPr>
        <w:t>7</w:t>
      </w:r>
      <w:r w:rsidR="00E874F2" w:rsidRPr="002B1F65">
        <w:rPr>
          <w:kern w:val="22"/>
          <w:szCs w:val="22"/>
          <w:shd w:val="clear" w:color="auto" w:fill="FFFFFF"/>
        </w:rPr>
        <w:fldChar w:fldCharType="end"/>
      </w:r>
      <w:r w:rsidR="00E874F2" w:rsidRPr="002B1F65">
        <w:rPr>
          <w:kern w:val="22"/>
          <w:szCs w:val="22"/>
          <w:shd w:val="clear" w:color="auto" w:fill="FFFFFF"/>
        </w:rPr>
        <w:t xml:space="preserve"> above</w:t>
      </w:r>
      <w:r w:rsidR="00CD09B6" w:rsidRPr="002B1F65">
        <w:rPr>
          <w:kern w:val="22"/>
          <w:szCs w:val="22"/>
          <w:shd w:val="clear" w:color="auto" w:fill="FFFFFF"/>
        </w:rPr>
        <w:t xml:space="preserve"> </w:t>
      </w:r>
      <w:r w:rsidR="00FE57FD" w:rsidRPr="002B1F65">
        <w:rPr>
          <w:kern w:val="22"/>
          <w:szCs w:val="22"/>
          <w:shd w:val="clear" w:color="auto" w:fill="FFFFFF"/>
        </w:rPr>
        <w:t xml:space="preserve">in a way that allows </w:t>
      </w:r>
      <w:r w:rsidR="00A8553F" w:rsidRPr="002B1F65">
        <w:rPr>
          <w:kern w:val="22"/>
          <w:szCs w:val="22"/>
          <w:shd w:val="clear" w:color="auto" w:fill="FFFFFF"/>
        </w:rPr>
        <w:t>commitments</w:t>
      </w:r>
      <w:r w:rsidR="00CB31D7" w:rsidRPr="002B1F65">
        <w:rPr>
          <w:kern w:val="22"/>
          <w:szCs w:val="22"/>
          <w:shd w:val="clear" w:color="auto" w:fill="FFFFFF"/>
        </w:rPr>
        <w:t xml:space="preserve"> made by </w:t>
      </w:r>
      <w:r w:rsidR="00B93211" w:rsidRPr="002B1F65">
        <w:rPr>
          <w:kern w:val="22"/>
          <w:szCs w:val="22"/>
          <w:shd w:val="clear" w:color="auto" w:fill="FFFFFF"/>
        </w:rPr>
        <w:t xml:space="preserve">these </w:t>
      </w:r>
      <w:r w:rsidR="00CB31D7" w:rsidRPr="002B1F65">
        <w:rPr>
          <w:kern w:val="22"/>
          <w:szCs w:val="22"/>
          <w:shd w:val="clear" w:color="auto" w:fill="FFFFFF"/>
        </w:rPr>
        <w:t>actors</w:t>
      </w:r>
      <w:r w:rsidR="00FE57FD" w:rsidRPr="002B1F65">
        <w:rPr>
          <w:kern w:val="22"/>
          <w:szCs w:val="22"/>
          <w:shd w:val="clear" w:color="auto" w:fill="FFFFFF"/>
        </w:rPr>
        <w:t xml:space="preserve"> to </w:t>
      </w:r>
      <w:r w:rsidR="00CB31D7" w:rsidRPr="002B1F65">
        <w:rPr>
          <w:kern w:val="22"/>
          <w:szCs w:val="22"/>
          <w:shd w:val="clear" w:color="auto" w:fill="FFFFFF"/>
        </w:rPr>
        <w:t>be</w:t>
      </w:r>
      <w:r w:rsidR="00FE57FD" w:rsidRPr="002B1F65">
        <w:rPr>
          <w:kern w:val="22"/>
          <w:szCs w:val="22"/>
          <w:shd w:val="clear" w:color="auto" w:fill="FFFFFF"/>
        </w:rPr>
        <w:t xml:space="preserve"> standardized as per the post-2020 global biodiversity framework and</w:t>
      </w:r>
      <w:r w:rsidR="00CB31D7" w:rsidRPr="002B1F65">
        <w:rPr>
          <w:kern w:val="22"/>
          <w:szCs w:val="22"/>
          <w:shd w:val="clear" w:color="auto" w:fill="FFFFFF"/>
        </w:rPr>
        <w:t xml:space="preserve"> </w:t>
      </w:r>
      <w:r w:rsidR="00FE57FD" w:rsidRPr="002B1F65">
        <w:rPr>
          <w:kern w:val="22"/>
          <w:szCs w:val="22"/>
          <w:shd w:val="clear" w:color="auto" w:fill="FFFFFF"/>
        </w:rPr>
        <w:t>analy</w:t>
      </w:r>
      <w:r w:rsidR="00603641" w:rsidRPr="00C71E31">
        <w:rPr>
          <w:kern w:val="22"/>
          <w:szCs w:val="22"/>
          <w:shd w:val="clear" w:color="auto" w:fill="FFFFFF"/>
        </w:rPr>
        <w:t>s</w:t>
      </w:r>
      <w:r w:rsidR="00FE57FD" w:rsidRPr="002B1F65">
        <w:rPr>
          <w:kern w:val="22"/>
          <w:szCs w:val="22"/>
          <w:shd w:val="clear" w:color="auto" w:fill="FFFFFF"/>
        </w:rPr>
        <w:t>ed</w:t>
      </w:r>
      <w:r w:rsidR="00CB31D7" w:rsidRPr="002B1F65">
        <w:rPr>
          <w:kern w:val="22"/>
          <w:szCs w:val="22"/>
          <w:shd w:val="clear" w:color="auto" w:fill="FFFFFF"/>
        </w:rPr>
        <w:t xml:space="preserve"> in order to provide a more complete account of ambition by all actors. This information could be used by the Conference of the Parties and its subsidiary bodies to assess the global aggregate level of ambition and identify possible gaps. In the event where Parties submit joint commitments with </w:t>
      </w:r>
      <w:r w:rsidR="006E4B8A" w:rsidRPr="002B1F65">
        <w:rPr>
          <w:kern w:val="22"/>
          <w:szCs w:val="22"/>
        </w:rPr>
        <w:t xml:space="preserve">actors other than national </w:t>
      </w:r>
      <w:r w:rsidR="006A4B15" w:rsidRPr="00C71E31">
        <w:rPr>
          <w:kern w:val="22"/>
          <w:szCs w:val="22"/>
        </w:rPr>
        <w:t>G</w:t>
      </w:r>
      <w:r w:rsidR="006E4B8A" w:rsidRPr="002B1F65">
        <w:rPr>
          <w:kern w:val="22"/>
          <w:szCs w:val="22"/>
        </w:rPr>
        <w:t xml:space="preserve">overnments, including </w:t>
      </w:r>
      <w:r w:rsidR="00CB31D7" w:rsidRPr="002B1F65">
        <w:rPr>
          <w:kern w:val="22"/>
          <w:szCs w:val="22"/>
          <w:shd w:val="clear" w:color="auto" w:fill="FFFFFF"/>
        </w:rPr>
        <w:t xml:space="preserve">subnational actors, appropriate measures would be taken to minimize double counting as described in </w:t>
      </w:r>
      <w:r w:rsidR="000D0956" w:rsidRPr="002B1F65">
        <w:rPr>
          <w:kern w:val="22"/>
          <w:szCs w:val="22"/>
          <w:shd w:val="clear" w:color="auto" w:fill="FFFFFF"/>
        </w:rPr>
        <w:t>the draft guidance for updating or revising national biodiversity strategies and action plans in the light of the post-2020 global biodiversity framework (CBD/SBI/3/11/Add.4).</w:t>
      </w:r>
    </w:p>
    <w:p w14:paraId="18D5E407" w14:textId="6099A1A7" w:rsidR="002F3C10" w:rsidRPr="002B1F65" w:rsidRDefault="002F3C10" w:rsidP="0040743A">
      <w:pPr>
        <w:jc w:val="left"/>
        <w:rPr>
          <w:rFonts w:ascii="Times New Roman" w:hAnsi="Times New Roman" w:cs="Times New Roman"/>
          <w:color w:val="000000"/>
          <w:kern w:val="22"/>
          <w:lang w:val="en-GB"/>
        </w:rPr>
      </w:pPr>
    </w:p>
    <w:p w14:paraId="497D17CC" w14:textId="77777777" w:rsidR="00E80F59" w:rsidRPr="002B1F65" w:rsidRDefault="00E80F59">
      <w:pPr>
        <w:rPr>
          <w:rFonts w:ascii="Times New Roman" w:hAnsi="Times New Roman" w:cs="Times New Roman"/>
          <w:b/>
          <w:bCs/>
          <w:kern w:val="22"/>
          <w:lang w:val="en-GB"/>
        </w:rPr>
      </w:pPr>
      <w:r w:rsidRPr="002B1F65">
        <w:rPr>
          <w:rFonts w:ascii="Times New Roman" w:hAnsi="Times New Roman" w:cs="Times New Roman"/>
          <w:b/>
          <w:bCs/>
          <w:kern w:val="22"/>
          <w:lang w:val="en-GB"/>
        </w:rPr>
        <w:br w:type="page"/>
      </w:r>
    </w:p>
    <w:p w14:paraId="140D94F0" w14:textId="0D471FE8" w:rsidR="00B337CA" w:rsidRPr="002B1F65" w:rsidRDefault="00911179">
      <w:pPr>
        <w:rPr>
          <w:rFonts w:ascii="Times New Roman" w:hAnsi="Times New Roman" w:cs="Times New Roman"/>
          <w:i/>
          <w:iCs/>
          <w:kern w:val="22"/>
          <w:lang w:val="en-GB"/>
        </w:rPr>
      </w:pPr>
      <w:r w:rsidRPr="002B1F65">
        <w:rPr>
          <w:rFonts w:ascii="Times New Roman" w:hAnsi="Times New Roman" w:cs="Times New Roman"/>
          <w:i/>
          <w:iCs/>
          <w:kern w:val="22"/>
          <w:lang w:val="en-GB"/>
        </w:rPr>
        <w:lastRenderedPageBreak/>
        <w:t>Annex</w:t>
      </w:r>
    </w:p>
    <w:p w14:paraId="38A4C98B" w14:textId="7C9FC83E" w:rsidR="00911179" w:rsidRPr="002B1F65" w:rsidRDefault="009445EE" w:rsidP="002B1F65">
      <w:pPr>
        <w:spacing w:before="120" w:after="120"/>
        <w:outlineLvl w:val="0"/>
        <w:rPr>
          <w:rFonts w:ascii="Times New Roman Bold" w:hAnsi="Times New Roman Bold" w:cs="Times New Roman Bold"/>
          <w:b/>
          <w:bCs/>
          <w:caps/>
          <w:kern w:val="22"/>
          <w:lang w:val="en-GB"/>
        </w:rPr>
      </w:pPr>
      <w:r w:rsidRPr="002B1F65">
        <w:rPr>
          <w:rFonts w:ascii="Times New Roman Bold" w:hAnsi="Times New Roman Bold" w:cs="Times New Roman Bold"/>
          <w:b/>
          <w:bCs/>
          <w:caps/>
          <w:kern w:val="22"/>
          <w:lang w:val="en-GB"/>
        </w:rPr>
        <w:t>Core reporting elements for actors other than national Governments</w:t>
      </w:r>
    </w:p>
    <w:p w14:paraId="00DB7DF5" w14:textId="1A0D3B0B" w:rsidR="002F3C10" w:rsidRPr="002B1F65" w:rsidRDefault="002F3C10">
      <w:pPr>
        <w:jc w:val="left"/>
        <w:rPr>
          <w:rFonts w:ascii="Times New Roman" w:hAnsi="Times New Roman" w:cs="Times New Roman"/>
          <w:kern w:val="22"/>
          <w:lang w:val="en-GB"/>
        </w:rPr>
      </w:pPr>
    </w:p>
    <w:p w14:paraId="234D7EB8" w14:textId="785AF2F5" w:rsidR="00133254" w:rsidRPr="002B1F65" w:rsidRDefault="00E23307" w:rsidP="000D533E">
      <w:pPr>
        <w:jc w:val="both"/>
        <w:rPr>
          <w:rFonts w:ascii="Times New Roman" w:hAnsi="Times New Roman" w:cs="Times New Roman"/>
          <w:color w:val="000000"/>
          <w:kern w:val="22"/>
          <w:lang w:val="en-GB"/>
        </w:rPr>
      </w:pPr>
      <w:r w:rsidRPr="002B1F65">
        <w:rPr>
          <w:rFonts w:ascii="Times New Roman" w:hAnsi="Times New Roman" w:cs="Times New Roman"/>
          <w:i/>
          <w:iCs/>
          <w:color w:val="000000"/>
          <w:kern w:val="22"/>
          <w:lang w:val="en-GB"/>
        </w:rPr>
        <w:t xml:space="preserve">Note: </w:t>
      </w:r>
      <w:r w:rsidR="000D0956" w:rsidRPr="002B1F65">
        <w:rPr>
          <w:rFonts w:ascii="Times New Roman" w:hAnsi="Times New Roman" w:cs="Times New Roman"/>
          <w:i/>
          <w:iCs/>
          <w:color w:val="000000"/>
          <w:kern w:val="22"/>
          <w:lang w:val="en-GB"/>
        </w:rPr>
        <w:t xml:space="preserve">Reporting of actors other than national </w:t>
      </w:r>
      <w:r w:rsidR="0011785A">
        <w:rPr>
          <w:rFonts w:ascii="Times New Roman" w:hAnsi="Times New Roman" w:cs="Times New Roman"/>
          <w:i/>
          <w:iCs/>
          <w:color w:val="000000"/>
          <w:kern w:val="22"/>
          <w:lang w:val="en-GB"/>
        </w:rPr>
        <w:t>G</w:t>
      </w:r>
      <w:r w:rsidR="000D0956" w:rsidRPr="002B1F65">
        <w:rPr>
          <w:rFonts w:ascii="Times New Roman" w:hAnsi="Times New Roman" w:cs="Times New Roman"/>
          <w:i/>
          <w:iCs/>
          <w:color w:val="000000"/>
          <w:kern w:val="22"/>
          <w:lang w:val="en-GB"/>
        </w:rPr>
        <w:t xml:space="preserve">overnments may occur via the Sharm El-Sheikh to Kunming Action Agenda for Nature and People or via reporting through a stakeholder coalition. The fields </w:t>
      </w:r>
      <w:r w:rsidR="00281650">
        <w:rPr>
          <w:rFonts w:ascii="Times New Roman" w:hAnsi="Times New Roman" w:cs="Times New Roman"/>
          <w:i/>
          <w:iCs/>
          <w:color w:val="000000"/>
          <w:kern w:val="22"/>
          <w:lang w:val="en-GB"/>
        </w:rPr>
        <w:t xml:space="preserve">identified </w:t>
      </w:r>
      <w:r w:rsidR="00281650" w:rsidRPr="004305D4">
        <w:rPr>
          <w:rFonts w:ascii="Times New Roman" w:hAnsi="Times New Roman" w:cs="Times New Roman"/>
          <w:i/>
          <w:iCs/>
          <w:color w:val="000000"/>
          <w:kern w:val="22"/>
          <w:lang w:val="en-GB"/>
        </w:rPr>
        <w:t xml:space="preserve">below </w:t>
      </w:r>
      <w:r w:rsidR="000D0956" w:rsidRPr="002B1F65">
        <w:rPr>
          <w:rFonts w:ascii="Times New Roman" w:hAnsi="Times New Roman" w:cs="Times New Roman"/>
          <w:i/>
          <w:iCs/>
          <w:color w:val="000000"/>
          <w:kern w:val="22"/>
          <w:lang w:val="en-GB"/>
        </w:rPr>
        <w:t xml:space="preserve">represent a minimum set of </w:t>
      </w:r>
      <w:r w:rsidR="001A0FCA">
        <w:rPr>
          <w:rFonts w:ascii="Times New Roman" w:hAnsi="Times New Roman" w:cs="Times New Roman"/>
          <w:i/>
          <w:iCs/>
          <w:color w:val="000000"/>
          <w:kern w:val="22"/>
          <w:lang w:val="en-GB"/>
        </w:rPr>
        <w:t xml:space="preserve">pieces of </w:t>
      </w:r>
      <w:r w:rsidR="000D0956" w:rsidRPr="002B1F65">
        <w:rPr>
          <w:rFonts w:ascii="Times New Roman" w:hAnsi="Times New Roman" w:cs="Times New Roman"/>
          <w:i/>
          <w:iCs/>
          <w:color w:val="000000"/>
          <w:kern w:val="22"/>
          <w:lang w:val="en-GB"/>
        </w:rPr>
        <w:t xml:space="preserve">information which </w:t>
      </w:r>
      <w:r w:rsidR="001A0FCA">
        <w:rPr>
          <w:rFonts w:ascii="Times New Roman" w:hAnsi="Times New Roman" w:cs="Times New Roman"/>
          <w:i/>
          <w:iCs/>
          <w:color w:val="000000"/>
          <w:kern w:val="22"/>
          <w:lang w:val="en-GB"/>
        </w:rPr>
        <w:t>are</w:t>
      </w:r>
      <w:r w:rsidR="001A0FCA" w:rsidRPr="002B1F65">
        <w:rPr>
          <w:rFonts w:ascii="Times New Roman" w:hAnsi="Times New Roman" w:cs="Times New Roman"/>
          <w:i/>
          <w:iCs/>
          <w:color w:val="000000"/>
          <w:kern w:val="22"/>
          <w:lang w:val="en-GB"/>
        </w:rPr>
        <w:t xml:space="preserve"> </w:t>
      </w:r>
      <w:r w:rsidR="000D0956" w:rsidRPr="002B1F65">
        <w:rPr>
          <w:rFonts w:ascii="Times New Roman" w:hAnsi="Times New Roman" w:cs="Times New Roman"/>
          <w:i/>
          <w:iCs/>
          <w:color w:val="000000"/>
          <w:kern w:val="22"/>
          <w:lang w:val="en-GB"/>
        </w:rPr>
        <w:t>needed in order to analy</w:t>
      </w:r>
      <w:r w:rsidR="00133254" w:rsidRPr="00F137C0">
        <w:rPr>
          <w:rFonts w:ascii="Times New Roman" w:hAnsi="Times New Roman" w:cs="Times New Roman"/>
          <w:i/>
          <w:iCs/>
          <w:color w:val="000000"/>
          <w:kern w:val="22"/>
          <w:lang w:val="en-GB"/>
        </w:rPr>
        <w:t>s</w:t>
      </w:r>
      <w:r w:rsidR="000D0956" w:rsidRPr="002B1F65">
        <w:rPr>
          <w:rFonts w:ascii="Times New Roman" w:hAnsi="Times New Roman" w:cs="Times New Roman"/>
          <w:i/>
          <w:iCs/>
          <w:color w:val="000000"/>
          <w:kern w:val="22"/>
          <w:lang w:val="en-GB"/>
        </w:rPr>
        <w:t>e the commitment in the context of the post-2020 global biodiversity framework</w:t>
      </w:r>
      <w:r w:rsidR="00F40C8A" w:rsidRPr="002B1F65">
        <w:rPr>
          <w:rFonts w:ascii="Times New Roman" w:hAnsi="Times New Roman" w:cs="Times New Roman"/>
          <w:i/>
          <w:iCs/>
          <w:color w:val="000000"/>
          <w:kern w:val="22"/>
          <w:lang w:val="en-GB"/>
        </w:rPr>
        <w:t>, including for global aggregation</w:t>
      </w:r>
      <w:r w:rsidR="000D0956" w:rsidRPr="002B1F65">
        <w:rPr>
          <w:rFonts w:ascii="Times New Roman" w:hAnsi="Times New Roman" w:cs="Times New Roman"/>
          <w:i/>
          <w:iCs/>
          <w:color w:val="000000"/>
          <w:kern w:val="22"/>
          <w:lang w:val="en-GB"/>
        </w:rPr>
        <w:t>. Additional information may be included in the various reporting initiatives which go beyond this core set of information.</w:t>
      </w:r>
      <w:r w:rsidR="00F40C8A" w:rsidRPr="002B1F65">
        <w:rPr>
          <w:rFonts w:ascii="Times New Roman" w:hAnsi="Times New Roman" w:cs="Times New Roman"/>
          <w:i/>
          <w:iCs/>
          <w:color w:val="000000"/>
          <w:kern w:val="22"/>
          <w:lang w:val="en-GB"/>
        </w:rPr>
        <w:t xml:space="preserve"> Commitments which do not include this minimum information may still be included in various reporting initiatives; however, commitments without these core elements are not included in the enhanced planning, monitoring, reporting and review mechanism under the Convention.</w:t>
      </w:r>
    </w:p>
    <w:p w14:paraId="6E422D6B" w14:textId="6C957281" w:rsidR="00F40C8A" w:rsidRPr="002B1F65" w:rsidRDefault="001545F5" w:rsidP="002B1F65">
      <w:pPr>
        <w:keepNext/>
        <w:spacing w:before="120" w:after="120"/>
        <w:rPr>
          <w:rFonts w:ascii="Times New Roman" w:hAnsi="Times New Roman" w:cs="Times New Roman"/>
          <w:color w:val="000000"/>
          <w:kern w:val="22"/>
          <w:lang w:val="en-GB"/>
        </w:rPr>
      </w:pPr>
      <w:r w:rsidRPr="002B1F65">
        <w:rPr>
          <w:rFonts w:ascii="Times New Roman" w:hAnsi="Times New Roman" w:cs="Times New Roman"/>
          <w:b/>
          <w:bCs/>
          <w:kern w:val="22"/>
          <w:lang w:val="en-GB"/>
        </w:rPr>
        <w:t>GENERAL INFORMATION</w:t>
      </w:r>
    </w:p>
    <w:p w14:paraId="5522F8C7" w14:textId="0C6AE7DF"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Organization (the name of lead organization)</w:t>
      </w:r>
      <w:r w:rsidR="0007050F">
        <w:rPr>
          <w:rFonts w:ascii="Times New Roman" w:hAnsi="Times New Roman" w:cs="Times New Roman"/>
          <w:kern w:val="22"/>
          <w:lang w:val="en-GB"/>
        </w:rPr>
        <w:t>.</w:t>
      </w:r>
    </w:p>
    <w:p w14:paraId="39AEBC7D" w14:textId="7C4E05BD"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Website (the website address for the lead organization)</w:t>
      </w:r>
      <w:r w:rsidR="0007050F">
        <w:rPr>
          <w:rFonts w:ascii="Times New Roman" w:hAnsi="Times New Roman" w:cs="Times New Roman"/>
          <w:kern w:val="22"/>
          <w:lang w:val="en-GB"/>
        </w:rPr>
        <w:t>.</w:t>
      </w:r>
    </w:p>
    <w:p w14:paraId="7F81EB36" w14:textId="583F188C"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 xml:space="preserve">Name of focal point in </w:t>
      </w:r>
      <w:r w:rsidR="00E75782">
        <w:rPr>
          <w:rFonts w:ascii="Times New Roman" w:hAnsi="Times New Roman" w:cs="Times New Roman"/>
          <w:kern w:val="22"/>
          <w:lang w:val="en-GB"/>
        </w:rPr>
        <w:t xml:space="preserve">the </w:t>
      </w:r>
      <w:r w:rsidRPr="002B1F65">
        <w:rPr>
          <w:rFonts w:ascii="Times New Roman" w:hAnsi="Times New Roman" w:cs="Times New Roman"/>
          <w:kern w:val="22"/>
          <w:lang w:val="en-GB"/>
        </w:rPr>
        <w:t xml:space="preserve">organization (full name of focal point contact in </w:t>
      </w:r>
      <w:r w:rsidR="00E75782">
        <w:rPr>
          <w:rFonts w:ascii="Times New Roman" w:hAnsi="Times New Roman" w:cs="Times New Roman"/>
          <w:kern w:val="22"/>
          <w:lang w:val="en-GB"/>
        </w:rPr>
        <w:t xml:space="preserve">the </w:t>
      </w:r>
      <w:r w:rsidRPr="002B1F65">
        <w:rPr>
          <w:rFonts w:ascii="Times New Roman" w:hAnsi="Times New Roman" w:cs="Times New Roman"/>
          <w:kern w:val="22"/>
          <w:lang w:val="en-GB"/>
        </w:rPr>
        <w:t>organization)</w:t>
      </w:r>
      <w:r w:rsidR="0007050F">
        <w:rPr>
          <w:rFonts w:ascii="Times New Roman" w:hAnsi="Times New Roman" w:cs="Times New Roman"/>
          <w:kern w:val="22"/>
          <w:lang w:val="en-GB"/>
        </w:rPr>
        <w:t>.</w:t>
      </w:r>
    </w:p>
    <w:p w14:paraId="362974B9" w14:textId="079D9A7D"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 xml:space="preserve">Email of focal point (email address for the focal point in </w:t>
      </w:r>
      <w:r w:rsidR="00E75782">
        <w:rPr>
          <w:rFonts w:ascii="Times New Roman" w:hAnsi="Times New Roman" w:cs="Times New Roman"/>
          <w:kern w:val="22"/>
          <w:lang w:val="en-GB"/>
        </w:rPr>
        <w:t xml:space="preserve">the </w:t>
      </w:r>
      <w:r w:rsidRPr="002B1F65">
        <w:rPr>
          <w:rFonts w:ascii="Times New Roman" w:hAnsi="Times New Roman" w:cs="Times New Roman"/>
          <w:kern w:val="22"/>
          <w:lang w:val="en-GB"/>
        </w:rPr>
        <w:t>organization)</w:t>
      </w:r>
      <w:r w:rsidR="0007050F">
        <w:rPr>
          <w:rFonts w:ascii="Times New Roman" w:hAnsi="Times New Roman" w:cs="Times New Roman"/>
          <w:kern w:val="22"/>
          <w:lang w:val="en-GB"/>
        </w:rPr>
        <w:t>.</w:t>
      </w:r>
    </w:p>
    <w:p w14:paraId="6F6FABA8" w14:textId="443C68E7"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Location (where your organization</w:t>
      </w:r>
      <w:r w:rsidR="00077229">
        <w:rPr>
          <w:rFonts w:ascii="Times New Roman" w:hAnsi="Times New Roman" w:cs="Times New Roman"/>
          <w:kern w:val="22"/>
          <w:lang w:val="en-GB"/>
        </w:rPr>
        <w:t>’s</w:t>
      </w:r>
      <w:r w:rsidRPr="002B1F65">
        <w:rPr>
          <w:rFonts w:ascii="Times New Roman" w:hAnsi="Times New Roman" w:cs="Times New Roman"/>
          <w:kern w:val="22"/>
          <w:lang w:val="en-GB"/>
        </w:rPr>
        <w:t xml:space="preserve"> headquarter</w:t>
      </w:r>
      <w:r w:rsidR="00473FC6">
        <w:rPr>
          <w:rFonts w:ascii="Times New Roman" w:hAnsi="Times New Roman" w:cs="Times New Roman"/>
          <w:kern w:val="22"/>
          <w:lang w:val="en-GB"/>
        </w:rPr>
        <w:t>s</w:t>
      </w:r>
      <w:r w:rsidRPr="002B1F65">
        <w:rPr>
          <w:rFonts w:ascii="Times New Roman" w:hAnsi="Times New Roman" w:cs="Times New Roman"/>
          <w:kern w:val="22"/>
          <w:lang w:val="en-GB"/>
        </w:rPr>
        <w:t xml:space="preserve"> is located)</w:t>
      </w:r>
      <w:r w:rsidR="0007050F">
        <w:rPr>
          <w:rFonts w:ascii="Times New Roman" w:hAnsi="Times New Roman" w:cs="Times New Roman"/>
          <w:kern w:val="22"/>
          <w:lang w:val="en-GB"/>
        </w:rPr>
        <w:t>.</w:t>
      </w:r>
    </w:p>
    <w:p w14:paraId="2A192CB1" w14:textId="3BAA98C6"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 xml:space="preserve">Geographic scope (local, </w:t>
      </w:r>
      <w:commentRangeStart w:id="6"/>
      <w:r w:rsidR="00CD34F6">
        <w:rPr>
          <w:rFonts w:ascii="Times New Roman" w:hAnsi="Times New Roman" w:cs="Times New Roman"/>
          <w:kern w:val="22"/>
          <w:lang w:val="en-GB"/>
        </w:rPr>
        <w:t>subnational</w:t>
      </w:r>
      <w:commentRangeEnd w:id="6"/>
      <w:r w:rsidR="00CD34F6">
        <w:rPr>
          <w:rStyle w:val="Marquedecommentaire"/>
        </w:rPr>
        <w:commentReference w:id="6"/>
      </w:r>
      <w:r w:rsidR="00CD34F6">
        <w:rPr>
          <w:rFonts w:ascii="Times New Roman" w:hAnsi="Times New Roman" w:cs="Times New Roman"/>
          <w:kern w:val="22"/>
          <w:lang w:val="en-GB"/>
        </w:rPr>
        <w:t xml:space="preserve">, </w:t>
      </w:r>
      <w:r w:rsidRPr="002B1F65">
        <w:rPr>
          <w:rFonts w:ascii="Times New Roman" w:hAnsi="Times New Roman" w:cs="Times New Roman"/>
          <w:kern w:val="22"/>
          <w:lang w:val="en-GB"/>
        </w:rPr>
        <w:t>national, regional or multinational)</w:t>
      </w:r>
      <w:r w:rsidR="0007050F">
        <w:rPr>
          <w:rFonts w:ascii="Times New Roman" w:hAnsi="Times New Roman" w:cs="Times New Roman"/>
          <w:kern w:val="22"/>
          <w:lang w:val="en-GB"/>
        </w:rPr>
        <w:t>.</w:t>
      </w:r>
    </w:p>
    <w:p w14:paraId="22D44211" w14:textId="7653689F"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Type of organization (</w:t>
      </w:r>
      <w:r w:rsidR="00047B34">
        <w:rPr>
          <w:rFonts w:ascii="Times New Roman" w:hAnsi="Times New Roman" w:cs="Times New Roman"/>
          <w:kern w:val="22"/>
          <w:lang w:val="en-GB"/>
        </w:rPr>
        <w:t>a</w:t>
      </w:r>
      <w:r w:rsidRPr="002B1F65">
        <w:rPr>
          <w:rFonts w:ascii="Times New Roman" w:eastAsia="Times New Roman" w:hAnsi="Times New Roman" w:cs="Times New Roman"/>
          <w:kern w:val="22"/>
          <w:lang w:val="en-GB" w:eastAsia="en-CA"/>
        </w:rPr>
        <w:t xml:space="preserve">cademic and research institute; </w:t>
      </w:r>
      <w:r w:rsidRPr="002B1F65">
        <w:rPr>
          <w:rFonts w:ascii="Times New Roman" w:hAnsi="Times New Roman" w:cs="Times New Roman"/>
          <w:kern w:val="22"/>
          <w:lang w:val="en-GB"/>
        </w:rPr>
        <w:t xml:space="preserve">financial institution; </w:t>
      </w:r>
      <w:r w:rsidR="00047B34">
        <w:rPr>
          <w:rFonts w:ascii="Times New Roman" w:eastAsia="Times New Roman" w:hAnsi="Times New Roman" w:cs="Times New Roman"/>
          <w:kern w:val="22"/>
          <w:lang w:val="en-GB" w:eastAsia="en-CA"/>
        </w:rPr>
        <w:t>c</w:t>
      </w:r>
      <w:r w:rsidRPr="002B1F65">
        <w:rPr>
          <w:rFonts w:ascii="Times New Roman" w:eastAsia="Times New Roman" w:hAnsi="Times New Roman" w:cs="Times New Roman"/>
          <w:kern w:val="22"/>
          <w:lang w:val="en-GB" w:eastAsia="en-CA"/>
        </w:rPr>
        <w:t>ompany/</w:t>
      </w:r>
      <w:r w:rsidR="00047B34">
        <w:rPr>
          <w:rFonts w:ascii="Times New Roman" w:eastAsia="Times New Roman" w:hAnsi="Times New Roman" w:cs="Times New Roman"/>
          <w:kern w:val="22"/>
          <w:lang w:val="en-GB" w:eastAsia="en-CA"/>
        </w:rPr>
        <w:softHyphen/>
        <w:t>c</w:t>
      </w:r>
      <w:r w:rsidRPr="002B1F65">
        <w:rPr>
          <w:rFonts w:ascii="Times New Roman" w:eastAsia="Times New Roman" w:hAnsi="Times New Roman" w:cs="Times New Roman"/>
          <w:kern w:val="22"/>
          <w:lang w:val="en-GB" w:eastAsia="en-CA"/>
        </w:rPr>
        <w:t xml:space="preserve">orporation (specify the sector); </w:t>
      </w:r>
      <w:r w:rsidR="00047B34">
        <w:rPr>
          <w:rFonts w:ascii="Times New Roman" w:eastAsia="Times New Roman" w:hAnsi="Times New Roman" w:cs="Times New Roman"/>
          <w:kern w:val="22"/>
          <w:lang w:val="en-GB" w:eastAsia="en-CA"/>
        </w:rPr>
        <w:t>i</w:t>
      </w:r>
      <w:r w:rsidRPr="002B1F65">
        <w:rPr>
          <w:rFonts w:ascii="Times New Roman" w:eastAsia="Times New Roman" w:hAnsi="Times New Roman" w:cs="Times New Roman"/>
          <w:kern w:val="22"/>
          <w:lang w:val="en-GB" w:eastAsia="en-CA"/>
        </w:rPr>
        <w:t xml:space="preserve">ndigenous </w:t>
      </w:r>
      <w:r w:rsidR="00047B34">
        <w:rPr>
          <w:rFonts w:ascii="Times New Roman" w:eastAsia="Times New Roman" w:hAnsi="Times New Roman" w:cs="Times New Roman"/>
          <w:kern w:val="22"/>
          <w:lang w:val="en-GB" w:eastAsia="en-CA"/>
        </w:rPr>
        <w:t>p</w:t>
      </w:r>
      <w:r w:rsidRPr="002B1F65">
        <w:rPr>
          <w:rFonts w:ascii="Times New Roman" w:eastAsia="Times New Roman" w:hAnsi="Times New Roman" w:cs="Times New Roman"/>
          <w:kern w:val="22"/>
          <w:lang w:val="en-GB" w:eastAsia="en-CA"/>
        </w:rPr>
        <w:t>eoples and local communit</w:t>
      </w:r>
      <w:r w:rsidR="00047B34">
        <w:rPr>
          <w:rFonts w:ascii="Times New Roman" w:eastAsia="Times New Roman" w:hAnsi="Times New Roman" w:cs="Times New Roman"/>
          <w:kern w:val="22"/>
          <w:lang w:val="en-GB" w:eastAsia="en-CA"/>
        </w:rPr>
        <w:t>ies</w:t>
      </w:r>
      <w:r w:rsidRPr="002B1F65">
        <w:rPr>
          <w:rFonts w:ascii="Times New Roman" w:eastAsia="Times New Roman" w:hAnsi="Times New Roman" w:cs="Times New Roman"/>
          <w:kern w:val="22"/>
          <w:lang w:val="en-GB" w:eastAsia="en-CA"/>
        </w:rPr>
        <w:t xml:space="preserve">; </w:t>
      </w:r>
      <w:r w:rsidR="00047B34">
        <w:rPr>
          <w:rFonts w:ascii="Times New Roman" w:hAnsi="Times New Roman" w:cs="Times New Roman"/>
          <w:kern w:val="22"/>
          <w:lang w:val="en-GB"/>
        </w:rPr>
        <w:t>n</w:t>
      </w:r>
      <w:r w:rsidRPr="002B1F65">
        <w:rPr>
          <w:rFonts w:ascii="Times New Roman" w:hAnsi="Times New Roman" w:cs="Times New Roman"/>
          <w:kern w:val="22"/>
          <w:lang w:val="en-GB"/>
        </w:rPr>
        <w:t xml:space="preserve">ational or </w:t>
      </w:r>
      <w:r w:rsidR="00047B34">
        <w:rPr>
          <w:rFonts w:ascii="Times New Roman" w:hAnsi="Times New Roman" w:cs="Times New Roman"/>
          <w:kern w:val="22"/>
          <w:lang w:val="en-GB"/>
        </w:rPr>
        <w:t>r</w:t>
      </w:r>
      <w:r w:rsidRPr="002B1F65">
        <w:rPr>
          <w:rFonts w:ascii="Times New Roman" w:hAnsi="Times New Roman" w:cs="Times New Roman"/>
          <w:kern w:val="22"/>
          <w:lang w:val="en-GB"/>
        </w:rPr>
        <w:t xml:space="preserve">egional initiative; </w:t>
      </w:r>
      <w:r w:rsidR="00047B34">
        <w:rPr>
          <w:rFonts w:ascii="Times New Roman" w:eastAsia="Times New Roman" w:hAnsi="Times New Roman" w:cs="Times New Roman"/>
          <w:kern w:val="22"/>
          <w:lang w:val="en-GB" w:eastAsia="en-CA"/>
        </w:rPr>
        <w:t>n</w:t>
      </w:r>
      <w:r w:rsidRPr="002B1F65">
        <w:rPr>
          <w:rFonts w:ascii="Times New Roman" w:eastAsia="Times New Roman" w:hAnsi="Times New Roman" w:cs="Times New Roman"/>
          <w:kern w:val="22"/>
          <w:lang w:val="en-GB" w:eastAsia="en-CA"/>
        </w:rPr>
        <w:t xml:space="preserve">on-governmental organization; </w:t>
      </w:r>
      <w:r w:rsidR="00047B34">
        <w:rPr>
          <w:rFonts w:ascii="Times New Roman" w:eastAsia="Times New Roman" w:hAnsi="Times New Roman" w:cs="Times New Roman"/>
          <w:kern w:val="22"/>
          <w:lang w:val="en-GB" w:eastAsia="en-CA"/>
        </w:rPr>
        <w:t>p</w:t>
      </w:r>
      <w:r w:rsidRPr="002B1F65">
        <w:rPr>
          <w:rFonts w:ascii="Times New Roman" w:eastAsia="Times New Roman" w:hAnsi="Times New Roman" w:cs="Times New Roman"/>
          <w:kern w:val="22"/>
          <w:lang w:val="en-GB" w:eastAsia="en-CA"/>
        </w:rPr>
        <w:t xml:space="preserve">rivate </w:t>
      </w:r>
      <w:r w:rsidR="00047B34">
        <w:rPr>
          <w:rFonts w:ascii="Times New Roman" w:eastAsia="Times New Roman" w:hAnsi="Times New Roman" w:cs="Times New Roman"/>
          <w:kern w:val="22"/>
          <w:lang w:val="en-GB" w:eastAsia="en-CA"/>
        </w:rPr>
        <w:t>f</w:t>
      </w:r>
      <w:r w:rsidRPr="002B1F65">
        <w:rPr>
          <w:rFonts w:ascii="Times New Roman" w:eastAsia="Times New Roman" w:hAnsi="Times New Roman" w:cs="Times New Roman"/>
          <w:kern w:val="22"/>
          <w:lang w:val="en-GB" w:eastAsia="en-CA"/>
        </w:rPr>
        <w:t xml:space="preserve">oundation; </w:t>
      </w:r>
      <w:r w:rsidR="00047B34">
        <w:rPr>
          <w:rFonts w:ascii="Times New Roman" w:eastAsia="Times New Roman" w:hAnsi="Times New Roman" w:cs="Times New Roman"/>
          <w:kern w:val="22"/>
          <w:lang w:val="en-GB" w:eastAsia="en-CA"/>
        </w:rPr>
        <w:t>s</w:t>
      </w:r>
      <w:r w:rsidRPr="002B1F65">
        <w:rPr>
          <w:rFonts w:ascii="Times New Roman" w:eastAsia="Times New Roman" w:hAnsi="Times New Roman" w:cs="Times New Roman"/>
          <w:kern w:val="22"/>
          <w:lang w:val="en-GB" w:eastAsia="en-CA"/>
        </w:rPr>
        <w:t xml:space="preserve">ubnational </w:t>
      </w:r>
      <w:r w:rsidR="00144006">
        <w:rPr>
          <w:rFonts w:ascii="Times New Roman" w:eastAsia="Times New Roman" w:hAnsi="Times New Roman" w:cs="Times New Roman"/>
          <w:kern w:val="22"/>
          <w:lang w:val="en-GB" w:eastAsia="en-CA"/>
        </w:rPr>
        <w:t>or</w:t>
      </w:r>
      <w:r w:rsidRPr="002B1F65">
        <w:rPr>
          <w:rFonts w:ascii="Times New Roman" w:eastAsia="Times New Roman" w:hAnsi="Times New Roman" w:cs="Times New Roman"/>
          <w:kern w:val="22"/>
          <w:lang w:val="en-GB" w:eastAsia="en-CA"/>
        </w:rPr>
        <w:t xml:space="preserve"> local government; </w:t>
      </w:r>
      <w:r w:rsidR="00144006">
        <w:rPr>
          <w:rFonts w:ascii="Times New Roman" w:eastAsia="Times New Roman" w:hAnsi="Times New Roman" w:cs="Times New Roman"/>
          <w:kern w:val="22"/>
          <w:lang w:val="en-GB" w:eastAsia="en-CA"/>
        </w:rPr>
        <w:t>r</w:t>
      </w:r>
      <w:r w:rsidRPr="002B1F65">
        <w:rPr>
          <w:rFonts w:ascii="Times New Roman" w:eastAsia="Times New Roman" w:hAnsi="Times New Roman" w:cs="Times New Roman"/>
          <w:kern w:val="22"/>
          <w:lang w:val="en-GB" w:eastAsia="en-CA"/>
        </w:rPr>
        <w:t>egional organization; intergovernmental organization/</w:t>
      </w:r>
      <w:r w:rsidR="00144006">
        <w:rPr>
          <w:rFonts w:ascii="Times New Roman" w:eastAsia="Times New Roman" w:hAnsi="Times New Roman" w:cs="Times New Roman"/>
          <w:kern w:val="22"/>
          <w:lang w:val="en-GB" w:eastAsia="en-CA"/>
        </w:rPr>
        <w:softHyphen/>
      </w:r>
      <w:r w:rsidRPr="002B1F65">
        <w:rPr>
          <w:rFonts w:ascii="Times New Roman" w:eastAsia="Times New Roman" w:hAnsi="Times New Roman" w:cs="Times New Roman"/>
          <w:kern w:val="22"/>
          <w:lang w:val="en-GB" w:eastAsia="en-CA"/>
        </w:rPr>
        <w:t xml:space="preserve">initiative; </w:t>
      </w:r>
      <w:r w:rsidR="00144006">
        <w:rPr>
          <w:rFonts w:ascii="Times New Roman" w:eastAsia="Times New Roman" w:hAnsi="Times New Roman" w:cs="Times New Roman"/>
          <w:kern w:val="22"/>
          <w:lang w:val="en-GB" w:eastAsia="en-CA"/>
        </w:rPr>
        <w:t>United Nations</w:t>
      </w:r>
      <w:r w:rsidR="00144006" w:rsidRPr="002B1F65">
        <w:rPr>
          <w:rFonts w:ascii="Times New Roman" w:eastAsia="Times New Roman" w:hAnsi="Times New Roman" w:cs="Times New Roman"/>
          <w:kern w:val="22"/>
          <w:lang w:val="en-GB" w:eastAsia="en-CA"/>
        </w:rPr>
        <w:t xml:space="preserve"> </w:t>
      </w:r>
      <w:r w:rsidR="00144006">
        <w:rPr>
          <w:rFonts w:ascii="Times New Roman" w:eastAsia="Times New Roman" w:hAnsi="Times New Roman" w:cs="Times New Roman"/>
          <w:kern w:val="22"/>
          <w:lang w:val="en-GB" w:eastAsia="en-CA"/>
        </w:rPr>
        <w:t>s</w:t>
      </w:r>
      <w:r w:rsidRPr="002B1F65">
        <w:rPr>
          <w:rFonts w:ascii="Times New Roman" w:eastAsia="Times New Roman" w:hAnsi="Times New Roman" w:cs="Times New Roman"/>
          <w:kern w:val="22"/>
          <w:lang w:val="en-GB" w:eastAsia="en-CA"/>
        </w:rPr>
        <w:t xml:space="preserve">ystem entity; </w:t>
      </w:r>
      <w:r w:rsidR="00144006">
        <w:rPr>
          <w:rFonts w:ascii="Times New Roman" w:eastAsia="Times New Roman" w:hAnsi="Times New Roman" w:cs="Times New Roman"/>
          <w:kern w:val="22"/>
          <w:lang w:val="en-GB" w:eastAsia="en-CA"/>
        </w:rPr>
        <w:t>y</w:t>
      </w:r>
      <w:r w:rsidRPr="002B1F65">
        <w:rPr>
          <w:rFonts w:ascii="Times New Roman" w:eastAsia="Times New Roman" w:hAnsi="Times New Roman" w:cs="Times New Roman"/>
          <w:kern w:val="22"/>
          <w:lang w:val="en-GB" w:eastAsia="en-CA"/>
        </w:rPr>
        <w:t xml:space="preserve">outh organization; </w:t>
      </w:r>
      <w:r w:rsidR="00144006">
        <w:rPr>
          <w:rFonts w:ascii="Times New Roman" w:eastAsia="Times New Roman" w:hAnsi="Times New Roman" w:cs="Times New Roman"/>
          <w:kern w:val="22"/>
          <w:lang w:val="en-GB" w:eastAsia="en-CA"/>
        </w:rPr>
        <w:t>o</w:t>
      </w:r>
      <w:r w:rsidRPr="002B1F65">
        <w:rPr>
          <w:rFonts w:ascii="Times New Roman" w:eastAsia="Times New Roman" w:hAnsi="Times New Roman" w:cs="Times New Roman"/>
          <w:kern w:val="22"/>
          <w:lang w:val="en-GB" w:eastAsia="en-CA"/>
        </w:rPr>
        <w:t>ther (please specify))</w:t>
      </w:r>
      <w:r w:rsidR="00CF0DC3">
        <w:rPr>
          <w:rFonts w:ascii="Times New Roman" w:eastAsia="Times New Roman" w:hAnsi="Times New Roman" w:cs="Times New Roman"/>
          <w:kern w:val="22"/>
          <w:lang w:val="en-GB" w:eastAsia="en-CA"/>
        </w:rPr>
        <w:t>.</w:t>
      </w:r>
    </w:p>
    <w:p w14:paraId="43F74FC1" w14:textId="77777777" w:rsidR="001545F5" w:rsidRPr="002B1F65" w:rsidRDefault="001545F5" w:rsidP="002B1F65">
      <w:pPr>
        <w:spacing w:before="120" w:after="120"/>
        <w:rPr>
          <w:rFonts w:ascii="Times New Roman" w:hAnsi="Times New Roman" w:cs="Times New Roman"/>
          <w:b/>
          <w:bCs/>
          <w:kern w:val="22"/>
          <w:lang w:val="en-GB"/>
        </w:rPr>
      </w:pPr>
      <w:r w:rsidRPr="002B1F65">
        <w:rPr>
          <w:rFonts w:ascii="Times New Roman" w:hAnsi="Times New Roman" w:cs="Times New Roman"/>
          <w:b/>
          <w:bCs/>
          <w:kern w:val="22"/>
          <w:lang w:val="en-GB"/>
        </w:rPr>
        <w:t xml:space="preserve">COMMITMENT </w:t>
      </w:r>
    </w:p>
    <w:p w14:paraId="01BB8731" w14:textId="392155B9"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Title (the title or name of the commitment/</w:t>
      </w:r>
      <w:r w:rsidR="003C1701">
        <w:rPr>
          <w:rFonts w:ascii="Times New Roman" w:hAnsi="Times New Roman" w:cs="Times New Roman"/>
          <w:kern w:val="22"/>
          <w:lang w:val="en-GB"/>
        </w:rPr>
        <w:softHyphen/>
      </w:r>
      <w:r w:rsidRPr="002B1F65">
        <w:rPr>
          <w:rFonts w:ascii="Times New Roman" w:hAnsi="Times New Roman" w:cs="Times New Roman"/>
          <w:kern w:val="22"/>
          <w:lang w:val="en-GB"/>
        </w:rPr>
        <w:t>action)</w:t>
      </w:r>
      <w:r w:rsidR="0007050F">
        <w:rPr>
          <w:rFonts w:ascii="Times New Roman" w:hAnsi="Times New Roman" w:cs="Times New Roman"/>
          <w:kern w:val="22"/>
          <w:lang w:val="en-GB"/>
        </w:rPr>
        <w:t>.</w:t>
      </w:r>
    </w:p>
    <w:p w14:paraId="123E21BE" w14:textId="3E837A92" w:rsidR="001545F5" w:rsidRPr="002B1F65" w:rsidRDefault="00913633"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Pr>
          <w:rFonts w:ascii="Times New Roman" w:hAnsi="Times New Roman" w:cs="Times New Roman"/>
          <w:kern w:val="22"/>
          <w:lang w:val="en-GB"/>
        </w:rPr>
        <w:t>To w</w:t>
      </w:r>
      <w:r w:rsidR="001545F5" w:rsidRPr="002B1F65">
        <w:rPr>
          <w:rFonts w:ascii="Times New Roman" w:hAnsi="Times New Roman" w:cs="Times New Roman"/>
          <w:kern w:val="22"/>
          <w:lang w:val="en-GB"/>
        </w:rPr>
        <w:t xml:space="preserve">hich target(s) of the post-2020 global biodiversity framework </w:t>
      </w:r>
      <w:r w:rsidR="000C45D4">
        <w:rPr>
          <w:rFonts w:ascii="Times New Roman" w:hAnsi="Times New Roman" w:cs="Times New Roman"/>
          <w:kern w:val="22"/>
          <w:lang w:val="en-GB"/>
        </w:rPr>
        <w:t>is</w:t>
      </w:r>
      <w:r w:rsidR="000C45D4" w:rsidRPr="002B1F65">
        <w:rPr>
          <w:rFonts w:ascii="Times New Roman" w:hAnsi="Times New Roman" w:cs="Times New Roman"/>
          <w:kern w:val="22"/>
          <w:lang w:val="en-GB"/>
        </w:rPr>
        <w:t xml:space="preserve"> </w:t>
      </w:r>
      <w:r w:rsidR="001545F5" w:rsidRPr="002B1F65">
        <w:rPr>
          <w:rFonts w:ascii="Times New Roman" w:hAnsi="Times New Roman" w:cs="Times New Roman"/>
          <w:kern w:val="22"/>
          <w:lang w:val="en-GB"/>
        </w:rPr>
        <w:t>the commitment aim</w:t>
      </w:r>
      <w:r w:rsidR="000C45D4">
        <w:rPr>
          <w:rFonts w:ascii="Times New Roman" w:hAnsi="Times New Roman" w:cs="Times New Roman"/>
          <w:kern w:val="22"/>
          <w:lang w:val="en-GB"/>
        </w:rPr>
        <w:t>ed</w:t>
      </w:r>
      <w:r w:rsidR="001545F5" w:rsidRPr="002B1F65">
        <w:rPr>
          <w:rFonts w:ascii="Times New Roman" w:hAnsi="Times New Roman" w:cs="Times New Roman"/>
          <w:kern w:val="22"/>
          <w:lang w:val="en-GB"/>
        </w:rPr>
        <w:t xml:space="preserve"> </w:t>
      </w:r>
      <w:r w:rsidR="000C45D4">
        <w:rPr>
          <w:rFonts w:ascii="Times New Roman" w:hAnsi="Times New Roman" w:cs="Times New Roman"/>
          <w:kern w:val="22"/>
          <w:lang w:val="en-GB"/>
        </w:rPr>
        <w:t>at</w:t>
      </w:r>
      <w:r w:rsidR="001545F5" w:rsidRPr="002B1F65">
        <w:rPr>
          <w:rFonts w:ascii="Times New Roman" w:hAnsi="Times New Roman" w:cs="Times New Roman"/>
          <w:kern w:val="22"/>
          <w:lang w:val="en-GB"/>
        </w:rPr>
        <w:t xml:space="preserve"> contribut</w:t>
      </w:r>
      <w:r w:rsidR="000C45D4">
        <w:rPr>
          <w:rFonts w:ascii="Times New Roman" w:hAnsi="Times New Roman" w:cs="Times New Roman"/>
          <w:kern w:val="22"/>
          <w:lang w:val="en-GB"/>
        </w:rPr>
        <w:t>ing</w:t>
      </w:r>
      <w:r w:rsidR="001545F5" w:rsidRPr="002B1F65">
        <w:rPr>
          <w:rFonts w:ascii="Times New Roman" w:hAnsi="Times New Roman" w:cs="Times New Roman"/>
          <w:kern w:val="22"/>
          <w:lang w:val="en-GB"/>
        </w:rPr>
        <w:t>:</w:t>
      </w:r>
    </w:p>
    <w:p w14:paraId="74A13FAD" w14:textId="5501F859" w:rsidR="001545F5" w:rsidRPr="002B1F65" w:rsidRDefault="001545F5" w:rsidP="002B1F65">
      <w:pPr>
        <w:pStyle w:val="Paragraphedeliste"/>
        <w:numPr>
          <w:ilvl w:val="1"/>
          <w:numId w:val="10"/>
        </w:numPr>
        <w:spacing w:after="120"/>
        <w:ind w:left="0" w:firstLine="72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Primary target (single selection of the most relevant target)</w:t>
      </w:r>
      <w:r w:rsidR="0027399A" w:rsidRPr="00F137C0">
        <w:rPr>
          <w:rFonts w:ascii="Times New Roman" w:hAnsi="Times New Roman" w:cs="Times New Roman"/>
          <w:kern w:val="22"/>
          <w:lang w:val="en-GB"/>
        </w:rPr>
        <w:t>;</w:t>
      </w:r>
    </w:p>
    <w:p w14:paraId="6914D5E4" w14:textId="47A148D8" w:rsidR="001545F5" w:rsidRPr="002B1F65" w:rsidRDefault="001545F5" w:rsidP="002B1F65">
      <w:pPr>
        <w:pStyle w:val="Paragraphedeliste"/>
        <w:numPr>
          <w:ilvl w:val="1"/>
          <w:numId w:val="10"/>
        </w:numPr>
        <w:spacing w:after="120"/>
        <w:ind w:left="0" w:firstLine="72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Other relevant targets (multiple targets possible)</w:t>
      </w:r>
      <w:r w:rsidR="0027399A" w:rsidRPr="00F137C0">
        <w:rPr>
          <w:rFonts w:ascii="Times New Roman" w:hAnsi="Times New Roman" w:cs="Times New Roman"/>
          <w:kern w:val="22"/>
          <w:lang w:val="en-GB"/>
        </w:rPr>
        <w:t>.</w:t>
      </w:r>
    </w:p>
    <w:p w14:paraId="5F5E8A61" w14:textId="006B247A"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Description (</w:t>
      </w:r>
      <w:r w:rsidR="00DE6B16">
        <w:rPr>
          <w:rFonts w:ascii="Times New Roman" w:hAnsi="Times New Roman" w:cs="Times New Roman"/>
          <w:kern w:val="22"/>
          <w:lang w:val="en-GB"/>
        </w:rPr>
        <w:t>a</w:t>
      </w:r>
      <w:r w:rsidRPr="002B1F65">
        <w:rPr>
          <w:rFonts w:ascii="Times New Roman" w:hAnsi="Times New Roman" w:cs="Times New Roman"/>
          <w:kern w:val="22"/>
          <w:lang w:val="en-GB"/>
        </w:rPr>
        <w:t xml:space="preserve"> short summary of the commitment, </w:t>
      </w:r>
      <w:r w:rsidR="0020259C" w:rsidRPr="002B1F65">
        <w:rPr>
          <w:rFonts w:ascii="Times New Roman" w:hAnsi="Times New Roman" w:cs="Times New Roman"/>
          <w:kern w:val="22"/>
          <w:lang w:val="en-GB"/>
        </w:rPr>
        <w:t>providing (a) an overview of scope of the actions proposed (</w:t>
      </w:r>
      <w:r w:rsidR="00DE6B16">
        <w:rPr>
          <w:rFonts w:ascii="Times New Roman" w:hAnsi="Times New Roman" w:cs="Times New Roman"/>
          <w:kern w:val="22"/>
          <w:lang w:val="en-GB"/>
        </w:rPr>
        <w:t>for ex</w:t>
      </w:r>
      <w:r w:rsidR="00FD303B">
        <w:rPr>
          <w:rFonts w:ascii="Times New Roman" w:hAnsi="Times New Roman" w:cs="Times New Roman"/>
          <w:kern w:val="22"/>
          <w:lang w:val="en-GB"/>
        </w:rPr>
        <w:t>a</w:t>
      </w:r>
      <w:r w:rsidR="00DE6B16">
        <w:rPr>
          <w:rFonts w:ascii="Times New Roman" w:hAnsi="Times New Roman" w:cs="Times New Roman"/>
          <w:kern w:val="22"/>
          <w:lang w:val="en-GB"/>
        </w:rPr>
        <w:t>mple</w:t>
      </w:r>
      <w:r w:rsidR="0020259C" w:rsidRPr="002B1F65">
        <w:rPr>
          <w:rFonts w:ascii="Times New Roman" w:hAnsi="Times New Roman" w:cs="Times New Roman"/>
          <w:kern w:val="22"/>
          <w:lang w:val="en-GB"/>
        </w:rPr>
        <w:t xml:space="preserve"> in terms of the area and/or number of people targeted) and (b) </w:t>
      </w:r>
      <w:r w:rsidRPr="002B1F65">
        <w:rPr>
          <w:rFonts w:ascii="Times New Roman" w:hAnsi="Times New Roman" w:cs="Times New Roman"/>
          <w:kern w:val="22"/>
          <w:lang w:val="en-GB"/>
        </w:rPr>
        <w:t>its intended outcome</w:t>
      </w:r>
      <w:r w:rsidR="0027399A" w:rsidRPr="00F137C0">
        <w:rPr>
          <w:rFonts w:ascii="Times New Roman" w:hAnsi="Times New Roman" w:cs="Times New Roman"/>
          <w:kern w:val="22"/>
          <w:lang w:val="en-GB"/>
        </w:rPr>
        <w:t xml:space="preserve"> </w:t>
      </w:r>
      <w:r w:rsidRPr="002B1F65">
        <w:rPr>
          <w:rFonts w:ascii="Times New Roman" w:hAnsi="Times New Roman" w:cs="Times New Roman"/>
          <w:kern w:val="22"/>
          <w:lang w:val="en-GB"/>
        </w:rPr>
        <w:t xml:space="preserve">and its contribution to the </w:t>
      </w:r>
      <w:r w:rsidR="0020259C" w:rsidRPr="002B1F65">
        <w:rPr>
          <w:rFonts w:ascii="Times New Roman" w:hAnsi="Times New Roman" w:cs="Times New Roman"/>
          <w:kern w:val="22"/>
          <w:lang w:val="en-GB"/>
        </w:rPr>
        <w:t xml:space="preserve">achievement of the </w:t>
      </w:r>
      <w:r w:rsidR="00FD303B">
        <w:rPr>
          <w:rFonts w:ascii="Times New Roman" w:hAnsi="Times New Roman" w:cs="Times New Roman"/>
          <w:kern w:val="22"/>
          <w:lang w:val="en-GB"/>
        </w:rPr>
        <w:t>g</w:t>
      </w:r>
      <w:r w:rsidR="0020259C" w:rsidRPr="002B1F65">
        <w:rPr>
          <w:rFonts w:ascii="Times New Roman" w:hAnsi="Times New Roman" w:cs="Times New Roman"/>
          <w:kern w:val="22"/>
          <w:lang w:val="en-GB"/>
        </w:rPr>
        <w:t xml:space="preserve">oals and </w:t>
      </w:r>
      <w:r w:rsidR="00FD303B">
        <w:rPr>
          <w:rFonts w:ascii="Times New Roman" w:hAnsi="Times New Roman" w:cs="Times New Roman"/>
          <w:kern w:val="22"/>
          <w:lang w:val="en-GB"/>
        </w:rPr>
        <w:t>t</w:t>
      </w:r>
      <w:r w:rsidR="0020259C" w:rsidRPr="002B1F65">
        <w:rPr>
          <w:rFonts w:ascii="Times New Roman" w:hAnsi="Times New Roman" w:cs="Times New Roman"/>
          <w:kern w:val="22"/>
          <w:lang w:val="en-GB"/>
        </w:rPr>
        <w:t xml:space="preserve">argets </w:t>
      </w:r>
      <w:r w:rsidRPr="002B1F65">
        <w:rPr>
          <w:rFonts w:ascii="Times New Roman" w:hAnsi="Times New Roman" w:cs="Times New Roman"/>
          <w:kern w:val="22"/>
          <w:lang w:val="en-GB"/>
        </w:rPr>
        <w:t>of the post-2020 global biodiversity framework</w:t>
      </w:r>
      <w:r w:rsidR="0020259C" w:rsidRPr="002B1F65">
        <w:rPr>
          <w:rFonts w:ascii="Times New Roman" w:hAnsi="Times New Roman" w:cs="Times New Roman"/>
          <w:kern w:val="22"/>
          <w:lang w:val="en-GB"/>
        </w:rPr>
        <w:t xml:space="preserve"> (including, as appro</w:t>
      </w:r>
      <w:r w:rsidR="00D5528C" w:rsidRPr="002B1F65">
        <w:rPr>
          <w:rFonts w:ascii="Times New Roman" w:hAnsi="Times New Roman" w:cs="Times New Roman"/>
          <w:kern w:val="22"/>
          <w:lang w:val="en-GB"/>
        </w:rPr>
        <w:t>priate,</w:t>
      </w:r>
      <w:r w:rsidR="0020259C" w:rsidRPr="002B1F65">
        <w:rPr>
          <w:rFonts w:ascii="Times New Roman" w:hAnsi="Times New Roman" w:cs="Times New Roman"/>
          <w:kern w:val="22"/>
          <w:lang w:val="en-GB"/>
        </w:rPr>
        <w:t xml:space="preserve"> positive contributions to biodiversity a</w:t>
      </w:r>
      <w:r w:rsidR="00FD303B">
        <w:rPr>
          <w:rFonts w:ascii="Times New Roman" w:hAnsi="Times New Roman" w:cs="Times New Roman"/>
          <w:kern w:val="22"/>
          <w:lang w:val="en-GB"/>
        </w:rPr>
        <w:t>s</w:t>
      </w:r>
      <w:r w:rsidR="0020259C" w:rsidRPr="002B1F65">
        <w:rPr>
          <w:rFonts w:ascii="Times New Roman" w:hAnsi="Times New Roman" w:cs="Times New Roman"/>
          <w:kern w:val="22"/>
          <w:lang w:val="en-GB"/>
        </w:rPr>
        <w:t xml:space="preserve"> well as reduced negative impacts on biodiversity</w:t>
      </w:r>
      <w:r w:rsidRPr="002B1F65">
        <w:rPr>
          <w:rFonts w:ascii="Times New Roman" w:hAnsi="Times New Roman" w:cs="Times New Roman"/>
          <w:kern w:val="22"/>
          <w:lang w:val="en-GB"/>
        </w:rPr>
        <w:t>)</w:t>
      </w:r>
      <w:r w:rsidR="0007050F">
        <w:rPr>
          <w:rFonts w:ascii="Times New Roman" w:hAnsi="Times New Roman" w:cs="Times New Roman"/>
          <w:kern w:val="22"/>
          <w:lang w:val="en-GB"/>
        </w:rPr>
        <w:t>.</w:t>
      </w:r>
    </w:p>
    <w:p w14:paraId="48EFA36C" w14:textId="5D1A72E6"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Expected impact</w:t>
      </w:r>
      <w:r w:rsidR="0007050F">
        <w:rPr>
          <w:rFonts w:ascii="Times New Roman" w:hAnsi="Times New Roman" w:cs="Times New Roman"/>
          <w:kern w:val="22"/>
          <w:lang w:val="en-GB"/>
        </w:rPr>
        <w:t>.</w:t>
      </w:r>
    </w:p>
    <w:p w14:paraId="2C5D4D90" w14:textId="3093141B"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commentRangeStart w:id="7"/>
      <w:r w:rsidRPr="002B1F65">
        <w:rPr>
          <w:rFonts w:ascii="Times New Roman" w:hAnsi="Times New Roman" w:cs="Times New Roman"/>
          <w:kern w:val="22"/>
          <w:lang w:val="en-GB"/>
        </w:rPr>
        <w:t>Theme(s) (ideally aligned with the action themes: food systems and health; freshwater, coastal and ocean ecosystems; conservation and restoration of land ecosystem</w:t>
      </w:r>
      <w:r w:rsidR="00CB2618">
        <w:rPr>
          <w:rFonts w:ascii="Times New Roman" w:hAnsi="Times New Roman" w:cs="Times New Roman"/>
          <w:kern w:val="22"/>
          <w:lang w:val="en-GB"/>
        </w:rPr>
        <w:t>s</w:t>
      </w:r>
      <w:r w:rsidRPr="002B1F65">
        <w:rPr>
          <w:rFonts w:ascii="Times New Roman" w:hAnsi="Times New Roman" w:cs="Times New Roman"/>
          <w:kern w:val="22"/>
          <w:lang w:val="en-GB"/>
        </w:rPr>
        <w:t>; climate change mitigation and adaptation; conservation and sustainable use of species; sustainable consumption and production; stewardship/</w:t>
      </w:r>
      <w:r w:rsidR="00813AAB">
        <w:rPr>
          <w:rFonts w:ascii="Times New Roman" w:hAnsi="Times New Roman" w:cs="Times New Roman"/>
          <w:kern w:val="22"/>
          <w:lang w:val="en-GB"/>
        </w:rPr>
        <w:softHyphen/>
      </w:r>
      <w:r w:rsidRPr="002B1F65">
        <w:rPr>
          <w:rFonts w:ascii="Times New Roman" w:hAnsi="Times New Roman" w:cs="Times New Roman"/>
          <w:kern w:val="22"/>
          <w:lang w:val="en-GB"/>
        </w:rPr>
        <w:t>good governance; urban sustainability; green finance; biosafety; and access to benefit-sharing)</w:t>
      </w:r>
      <w:r w:rsidR="0007050F">
        <w:rPr>
          <w:rFonts w:ascii="Times New Roman" w:hAnsi="Times New Roman" w:cs="Times New Roman"/>
          <w:kern w:val="22"/>
          <w:lang w:val="en-GB"/>
        </w:rPr>
        <w:t>.</w:t>
      </w:r>
      <w:commentRangeEnd w:id="7"/>
      <w:r w:rsidR="00CD34F6">
        <w:rPr>
          <w:rStyle w:val="Marquedecommentaire"/>
        </w:rPr>
        <w:commentReference w:id="7"/>
      </w:r>
    </w:p>
    <w:p w14:paraId="1275534C" w14:textId="1391C481" w:rsidR="001545F5" w:rsidRPr="002B1F65" w:rsidRDefault="001545F5" w:rsidP="002B1F65">
      <w:pPr>
        <w:pStyle w:val="Paragraphedeliste"/>
        <w:numPr>
          <w:ilvl w:val="0"/>
          <w:numId w:val="10"/>
        </w:numPr>
        <w:spacing w:after="120"/>
        <w:ind w:left="0" w:firstLine="0"/>
        <w:contextualSpacing w:val="0"/>
        <w:jc w:val="both"/>
        <w:rPr>
          <w:rFonts w:ascii="Times New Roman" w:eastAsia="Times New Roman" w:hAnsi="Times New Roman" w:cs="Times New Roman"/>
          <w:kern w:val="22"/>
          <w:lang w:val="en-GB"/>
        </w:rPr>
      </w:pPr>
      <w:r w:rsidRPr="002B1F65">
        <w:rPr>
          <w:rFonts w:ascii="Times New Roman" w:eastAsia="Times New Roman" w:hAnsi="Times New Roman" w:cs="Times New Roman"/>
          <w:kern w:val="22"/>
          <w:lang w:val="en-GB"/>
        </w:rPr>
        <w:t xml:space="preserve">Sustainable </w:t>
      </w:r>
      <w:r w:rsidRPr="002B1F65">
        <w:rPr>
          <w:rFonts w:ascii="Times New Roman" w:hAnsi="Times New Roman" w:cs="Times New Roman"/>
          <w:kern w:val="22"/>
          <w:lang w:val="en-GB"/>
        </w:rPr>
        <w:t>Development</w:t>
      </w:r>
      <w:r w:rsidRPr="002B1F65">
        <w:rPr>
          <w:rFonts w:ascii="Times New Roman" w:eastAsia="Times New Roman" w:hAnsi="Times New Roman" w:cs="Times New Roman"/>
          <w:kern w:val="22"/>
          <w:lang w:val="en-GB"/>
        </w:rPr>
        <w:t xml:space="preserve"> Goal(s) </w:t>
      </w:r>
      <w:r w:rsidR="00511847">
        <w:rPr>
          <w:rFonts w:ascii="Times New Roman" w:eastAsia="Times New Roman" w:hAnsi="Times New Roman" w:cs="Times New Roman"/>
          <w:kern w:val="22"/>
          <w:lang w:val="en-GB"/>
        </w:rPr>
        <w:t xml:space="preserve">to which </w:t>
      </w:r>
      <w:r w:rsidRPr="002B1F65">
        <w:rPr>
          <w:rFonts w:ascii="Times New Roman" w:eastAsia="Times New Roman" w:hAnsi="Times New Roman" w:cs="Times New Roman"/>
          <w:kern w:val="22"/>
          <w:lang w:val="en-GB"/>
        </w:rPr>
        <w:t>the commitment contributes (optional)</w:t>
      </w:r>
      <w:r w:rsidR="00511847">
        <w:rPr>
          <w:rFonts w:ascii="Times New Roman" w:eastAsia="Times New Roman" w:hAnsi="Times New Roman" w:cs="Times New Roman"/>
          <w:kern w:val="22"/>
          <w:lang w:val="en-GB"/>
        </w:rPr>
        <w:t>.</w:t>
      </w:r>
    </w:p>
    <w:p w14:paraId="3A09571D" w14:textId="28713FCD"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Partners (other organizations involved in the commitment)</w:t>
      </w:r>
      <w:r w:rsidR="00EE48F5" w:rsidRPr="00F137C0">
        <w:rPr>
          <w:rFonts w:ascii="Times New Roman" w:hAnsi="Times New Roman" w:cs="Times New Roman"/>
          <w:kern w:val="22"/>
          <w:lang w:val="en-GB"/>
        </w:rPr>
        <w:t>.</w:t>
      </w:r>
    </w:p>
    <w:p w14:paraId="2F60FDF6" w14:textId="4B9634D9" w:rsidR="00044EE7" w:rsidRPr="002B1F65" w:rsidRDefault="001545F5" w:rsidP="002B1F65">
      <w:pPr>
        <w:keepNext/>
        <w:spacing w:before="120" w:after="120"/>
        <w:rPr>
          <w:rFonts w:ascii="Times New Roman" w:hAnsi="Times New Roman" w:cs="Times New Roman"/>
          <w:b/>
          <w:bCs/>
          <w:kern w:val="22"/>
          <w:lang w:val="en-GB"/>
        </w:rPr>
      </w:pPr>
      <w:r w:rsidRPr="002B1F65">
        <w:rPr>
          <w:rFonts w:ascii="Times New Roman" w:hAnsi="Times New Roman" w:cs="Times New Roman"/>
          <w:b/>
          <w:bCs/>
          <w:kern w:val="22"/>
          <w:lang w:val="en-GB"/>
        </w:rPr>
        <w:lastRenderedPageBreak/>
        <w:t>PROGRESS TRACKING</w:t>
      </w:r>
    </w:p>
    <w:p w14:paraId="5A34B1A1" w14:textId="5A2C34B2"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commentRangeStart w:id="8"/>
      <w:r w:rsidRPr="002B1F65">
        <w:rPr>
          <w:rFonts w:ascii="Times New Roman" w:hAnsi="Times New Roman" w:cs="Times New Roman"/>
          <w:kern w:val="22"/>
          <w:lang w:val="en-GB"/>
        </w:rPr>
        <w:t>Timeline (start and end dates for the commitment)</w:t>
      </w:r>
      <w:commentRangeEnd w:id="8"/>
      <w:r w:rsidR="00FE31E5">
        <w:rPr>
          <w:rStyle w:val="Marquedecommentaire"/>
        </w:rPr>
        <w:commentReference w:id="8"/>
      </w:r>
      <w:r w:rsidR="004451B1">
        <w:rPr>
          <w:rFonts w:ascii="Times New Roman" w:hAnsi="Times New Roman" w:cs="Times New Roman"/>
          <w:kern w:val="22"/>
          <w:lang w:val="en-GB"/>
        </w:rPr>
        <w:t>:</w:t>
      </w:r>
    </w:p>
    <w:p w14:paraId="328F45C1" w14:textId="6CEE7477" w:rsidR="001545F5" w:rsidRPr="002B1F65" w:rsidRDefault="001545F5" w:rsidP="002B1F65">
      <w:pPr>
        <w:pStyle w:val="Paragraphedeliste"/>
        <w:numPr>
          <w:ilvl w:val="1"/>
          <w:numId w:val="10"/>
        </w:numPr>
        <w:shd w:val="clear" w:color="auto" w:fill="FFFFFF"/>
        <w:spacing w:after="120"/>
        <w:ind w:left="0" w:firstLine="72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 xml:space="preserve">Is this a one-time or recurrent commitment? If recurrent, </w:t>
      </w:r>
      <w:r w:rsidR="00B84537">
        <w:rPr>
          <w:rFonts w:ascii="Times New Roman" w:hAnsi="Times New Roman" w:cs="Times New Roman"/>
          <w:kern w:val="22"/>
          <w:lang w:val="en-GB"/>
        </w:rPr>
        <w:t xml:space="preserve">indicate </w:t>
      </w:r>
      <w:r w:rsidRPr="002B1F65">
        <w:rPr>
          <w:rFonts w:ascii="Times New Roman" w:hAnsi="Times New Roman" w:cs="Times New Roman"/>
          <w:kern w:val="22"/>
          <w:lang w:val="en-GB"/>
        </w:rPr>
        <w:t>the duration.</w:t>
      </w:r>
    </w:p>
    <w:p w14:paraId="3EFB28C5" w14:textId="11665D31" w:rsidR="00276573" w:rsidRPr="002B1F65" w:rsidRDefault="00276573"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 xml:space="preserve">Key </w:t>
      </w:r>
      <w:commentRangeStart w:id="9"/>
      <w:r w:rsidR="004E79FD">
        <w:rPr>
          <w:rFonts w:ascii="Times New Roman" w:hAnsi="Times New Roman" w:cs="Times New Roman"/>
          <w:kern w:val="22"/>
          <w:lang w:val="en-GB"/>
        </w:rPr>
        <w:t>p</w:t>
      </w:r>
      <w:r w:rsidRPr="002B1F65">
        <w:rPr>
          <w:rFonts w:ascii="Times New Roman" w:hAnsi="Times New Roman" w:cs="Times New Roman"/>
          <w:kern w:val="22"/>
          <w:lang w:val="en-GB"/>
        </w:rPr>
        <w:t xml:space="preserve">erformance </w:t>
      </w:r>
      <w:r w:rsidR="004E79FD">
        <w:rPr>
          <w:rFonts w:ascii="Times New Roman" w:hAnsi="Times New Roman" w:cs="Times New Roman"/>
          <w:kern w:val="22"/>
          <w:lang w:val="en-GB"/>
        </w:rPr>
        <w:t>i</w:t>
      </w:r>
      <w:r w:rsidRPr="002B1F65">
        <w:rPr>
          <w:rFonts w:ascii="Times New Roman" w:hAnsi="Times New Roman" w:cs="Times New Roman"/>
          <w:kern w:val="22"/>
          <w:lang w:val="en-GB"/>
        </w:rPr>
        <w:t>ndicators</w:t>
      </w:r>
      <w:r w:rsidR="00363EF0" w:rsidRPr="00363EF0">
        <w:rPr>
          <w:rFonts w:ascii="Times New Roman" w:hAnsi="Times New Roman" w:cs="Times New Roman"/>
          <w:kern w:val="22"/>
          <w:lang w:val="en-GB"/>
        </w:rPr>
        <w:t xml:space="preserve"> </w:t>
      </w:r>
      <w:commentRangeEnd w:id="9"/>
      <w:r w:rsidR="00910EC7">
        <w:rPr>
          <w:rStyle w:val="Marquedecommentaire"/>
        </w:rPr>
        <w:commentReference w:id="9"/>
      </w:r>
      <w:r w:rsidR="00363EF0">
        <w:rPr>
          <w:rFonts w:ascii="Times New Roman" w:hAnsi="Times New Roman" w:cs="Times New Roman"/>
          <w:kern w:val="22"/>
          <w:lang w:val="en-GB"/>
        </w:rPr>
        <w:t>(</w:t>
      </w:r>
      <w:r w:rsidR="00363EF0" w:rsidRPr="00EB7D61">
        <w:rPr>
          <w:rFonts w:ascii="Times New Roman" w:hAnsi="Times New Roman" w:cs="Times New Roman"/>
          <w:kern w:val="22"/>
          <w:lang w:val="en-GB"/>
        </w:rPr>
        <w:t>KPIs</w:t>
      </w:r>
      <w:r w:rsidRPr="002B1F65">
        <w:rPr>
          <w:rFonts w:ascii="Times New Roman" w:hAnsi="Times New Roman" w:cs="Times New Roman"/>
          <w:kern w:val="22"/>
          <w:lang w:val="en-GB"/>
        </w:rPr>
        <w:t>) or other indicators of measurable success (</w:t>
      </w:r>
      <w:r w:rsidR="004E79FD">
        <w:rPr>
          <w:rFonts w:ascii="Times New Roman" w:hAnsi="Times New Roman" w:cs="Times New Roman"/>
          <w:kern w:val="22"/>
          <w:lang w:val="en-GB"/>
        </w:rPr>
        <w:t>such as</w:t>
      </w:r>
      <w:r w:rsidRPr="002B1F65">
        <w:rPr>
          <w:rFonts w:ascii="Times New Roman" w:hAnsi="Times New Roman" w:cs="Times New Roman"/>
          <w:kern w:val="22"/>
          <w:lang w:val="en-GB"/>
        </w:rPr>
        <w:t xml:space="preserve"> percentages, numbers or other quantitative </w:t>
      </w:r>
      <w:r w:rsidR="008D11CF">
        <w:rPr>
          <w:rFonts w:ascii="Times New Roman" w:hAnsi="Times New Roman" w:cs="Times New Roman"/>
          <w:kern w:val="22"/>
          <w:lang w:val="en-GB"/>
        </w:rPr>
        <w:t xml:space="preserve">pieces of </w:t>
      </w:r>
      <w:r w:rsidRPr="002B1F65">
        <w:rPr>
          <w:rFonts w:ascii="Times New Roman" w:hAnsi="Times New Roman" w:cs="Times New Roman"/>
          <w:kern w:val="22"/>
          <w:lang w:val="en-GB"/>
        </w:rPr>
        <w:t>information)</w:t>
      </w:r>
      <w:r w:rsidR="00EE48F5" w:rsidRPr="00F137C0">
        <w:rPr>
          <w:rFonts w:ascii="Times New Roman" w:hAnsi="Times New Roman" w:cs="Times New Roman"/>
          <w:kern w:val="22"/>
          <w:lang w:val="en-GB"/>
        </w:rPr>
        <w:t>;</w:t>
      </w:r>
    </w:p>
    <w:p w14:paraId="1FE1E220" w14:textId="0D67D2AC" w:rsidR="001545F5" w:rsidRPr="002B1F65" w:rsidRDefault="001545F5" w:rsidP="002B1F65">
      <w:pPr>
        <w:pStyle w:val="Paragraphedeliste"/>
        <w:numPr>
          <w:ilvl w:val="0"/>
          <w:numId w:val="10"/>
        </w:numPr>
        <w:spacing w:after="120"/>
        <w:ind w:left="0" w:firstLine="0"/>
        <w:contextualSpacing w:val="0"/>
        <w:jc w:val="both"/>
        <w:rPr>
          <w:rFonts w:ascii="Times New Roman" w:hAnsi="Times New Roman" w:cs="Times New Roman"/>
          <w:kern w:val="22"/>
          <w:lang w:val="en-GB"/>
        </w:rPr>
      </w:pPr>
      <w:r w:rsidRPr="002B1F65">
        <w:rPr>
          <w:rFonts w:ascii="Times New Roman" w:hAnsi="Times New Roman" w:cs="Times New Roman"/>
          <w:kern w:val="22"/>
          <w:lang w:val="en-GB"/>
        </w:rPr>
        <w:t xml:space="preserve">Monitoring and </w:t>
      </w:r>
      <w:r w:rsidR="00B337CA" w:rsidRPr="00F137C0">
        <w:rPr>
          <w:rFonts w:ascii="Times New Roman" w:hAnsi="Times New Roman" w:cs="Times New Roman"/>
          <w:kern w:val="22"/>
          <w:lang w:val="en-GB"/>
        </w:rPr>
        <w:t>r</w:t>
      </w:r>
      <w:r w:rsidRPr="002B1F65">
        <w:rPr>
          <w:rFonts w:ascii="Times New Roman" w:hAnsi="Times New Roman" w:cs="Times New Roman"/>
          <w:kern w:val="22"/>
          <w:lang w:val="en-GB"/>
        </w:rPr>
        <w:t>eporting (</w:t>
      </w:r>
      <w:r w:rsidR="00C661B0">
        <w:rPr>
          <w:rFonts w:ascii="Times New Roman" w:hAnsi="Times New Roman" w:cs="Times New Roman"/>
          <w:kern w:val="22"/>
          <w:lang w:val="en-GB"/>
        </w:rPr>
        <w:t>indicate if</w:t>
      </w:r>
      <w:r w:rsidR="00C661B0" w:rsidRPr="002B1F65">
        <w:rPr>
          <w:rFonts w:ascii="Times New Roman" w:hAnsi="Times New Roman" w:cs="Times New Roman"/>
          <w:kern w:val="22"/>
          <w:lang w:val="en-GB"/>
        </w:rPr>
        <w:t xml:space="preserve"> </w:t>
      </w:r>
      <w:r w:rsidRPr="002B1F65">
        <w:rPr>
          <w:rFonts w:ascii="Times New Roman" w:hAnsi="Times New Roman" w:cs="Times New Roman"/>
          <w:kern w:val="22"/>
          <w:lang w:val="en-GB"/>
        </w:rPr>
        <w:t>monitoring arrangements are in place and the format, frequency and public availability of reporting)</w:t>
      </w:r>
      <w:r w:rsidR="00EE48F5" w:rsidRPr="00F137C0">
        <w:rPr>
          <w:rFonts w:ascii="Times New Roman" w:hAnsi="Times New Roman" w:cs="Times New Roman"/>
          <w:kern w:val="22"/>
          <w:lang w:val="en-GB"/>
        </w:rPr>
        <w:t>.</w:t>
      </w:r>
    </w:p>
    <w:p w14:paraId="44B2DE21" w14:textId="284F06FD" w:rsidR="00F40C8A" w:rsidRPr="00F137C0" w:rsidRDefault="00F40C8A">
      <w:pPr>
        <w:jc w:val="left"/>
        <w:rPr>
          <w:rFonts w:ascii="Times New Roman" w:hAnsi="Times New Roman" w:cs="Times New Roman"/>
          <w:color w:val="000000"/>
          <w:kern w:val="22"/>
          <w:lang w:val="en-GB"/>
        </w:rPr>
      </w:pPr>
    </w:p>
    <w:p w14:paraId="7ACBE8C1" w14:textId="367A725F" w:rsidR="00044EE7" w:rsidRPr="002B1F65" w:rsidRDefault="00044EE7" w:rsidP="002B1F65">
      <w:pPr>
        <w:rPr>
          <w:rFonts w:ascii="Times New Roman" w:hAnsi="Times New Roman" w:cs="Times New Roman"/>
          <w:color w:val="000000"/>
          <w:kern w:val="22"/>
          <w:lang w:val="en-GB"/>
        </w:rPr>
      </w:pPr>
      <w:r w:rsidRPr="00F137C0">
        <w:rPr>
          <w:rFonts w:ascii="Times New Roman" w:hAnsi="Times New Roman" w:cs="Times New Roman"/>
          <w:color w:val="000000"/>
          <w:kern w:val="22"/>
          <w:lang w:val="en-GB"/>
        </w:rPr>
        <w:t>__________</w:t>
      </w:r>
    </w:p>
    <w:sectPr w:rsidR="00044EE7" w:rsidRPr="002B1F65" w:rsidSect="0074417B">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pgMar w:top="864" w:right="1440" w:bottom="864"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eur" w:initials="A">
    <w:p w14:paraId="3C207A93" w14:textId="7856948B" w:rsidR="00CD34F6" w:rsidRPr="00CD34F6" w:rsidRDefault="00CD34F6" w:rsidP="00CD34F6">
      <w:pPr>
        <w:pStyle w:val="Commentaire"/>
        <w:rPr>
          <w:lang w:val="en-CA"/>
        </w:rPr>
      </w:pPr>
      <w:r>
        <w:rPr>
          <w:rStyle w:val="Marquedecommentaire"/>
        </w:rPr>
        <w:annotationRef/>
      </w:r>
      <w:r>
        <w:rPr>
          <w:rStyle w:val="Marquedecommentaire"/>
        </w:rPr>
        <w:annotationRef/>
      </w:r>
      <w:r>
        <w:rPr>
          <w:rStyle w:val="Marquedecommentaire"/>
        </w:rPr>
        <w:annotationRef/>
      </w:r>
      <w:r w:rsidRPr="00844D09">
        <w:rPr>
          <w:lang w:val="en-CA"/>
        </w:rPr>
        <w:t>In agreement with para</w:t>
      </w:r>
      <w:r w:rsidR="00D457D3">
        <w:rPr>
          <w:lang w:val="en-CA"/>
        </w:rPr>
        <w:t xml:space="preserve">graph 25 </w:t>
      </w:r>
      <w:r w:rsidRPr="00844D09">
        <w:rPr>
          <w:lang w:val="en-CA"/>
        </w:rPr>
        <w:t xml:space="preserve">of </w:t>
      </w:r>
      <w:r w:rsidR="00D457D3">
        <w:rPr>
          <w:lang w:val="en-CA"/>
        </w:rPr>
        <w:t>L15</w:t>
      </w:r>
      <w:r w:rsidRPr="00844D09">
        <w:rPr>
          <w:lang w:val="en-CA"/>
        </w:rPr>
        <w:t xml:space="preserve"> </w:t>
      </w:r>
      <w:r w:rsidR="009E14BB">
        <w:rPr>
          <w:lang w:val="en-CA"/>
        </w:rPr>
        <w:t>(previously</w:t>
      </w:r>
      <w:r w:rsidR="0077306A">
        <w:rPr>
          <w:lang w:val="en-CA"/>
        </w:rPr>
        <w:t xml:space="preserve"> paragraph </w:t>
      </w:r>
      <w:r w:rsidR="00902D78">
        <w:rPr>
          <w:lang w:val="en-CA"/>
        </w:rPr>
        <w:t>14 of</w:t>
      </w:r>
      <w:r w:rsidR="009E14BB">
        <w:rPr>
          <w:lang w:val="en-CA"/>
        </w:rPr>
        <w:t xml:space="preserve"> CRP5) </w:t>
      </w:r>
      <w:r w:rsidRPr="00844D09">
        <w:rPr>
          <w:lang w:val="en-CA"/>
        </w:rPr>
        <w:t>regarding the development of commitments by subnational governments</w:t>
      </w:r>
      <w:r>
        <w:rPr>
          <w:lang w:val="en-CA"/>
        </w:rPr>
        <w:t xml:space="preserve">, cities and other local authorities </w:t>
      </w:r>
      <w:r w:rsidRPr="00844D09">
        <w:rPr>
          <w:lang w:val="en-CA"/>
        </w:rPr>
        <w:t>in support of the GBF using a template to facilitate compilation and analyses.</w:t>
      </w:r>
    </w:p>
  </w:comment>
  <w:comment w:id="3" w:author="Auteur" w:initials="A">
    <w:p w14:paraId="585D0275" w14:textId="5588507A" w:rsidR="00366D36" w:rsidRDefault="00366D36">
      <w:pPr>
        <w:pStyle w:val="Commentaire"/>
      </w:pPr>
      <w:r>
        <w:rPr>
          <w:rStyle w:val="Marquedecommentaire"/>
        </w:rPr>
        <w:annotationRef/>
      </w:r>
      <w:r w:rsidR="00C426E7" w:rsidRPr="00C426E7">
        <w:t xml:space="preserve">We suggest </w:t>
      </w:r>
      <w:r w:rsidR="0071693E" w:rsidRPr="00C426E7">
        <w:t>including</w:t>
      </w:r>
      <w:r w:rsidR="00C426E7" w:rsidRPr="00C426E7">
        <w:t xml:space="preserve"> how their commitments support the commitments of their Parties as subnational governments and how it contributes to the Parties reports, promoting the policies alignment and coordination exercise</w:t>
      </w:r>
    </w:p>
  </w:comment>
  <w:comment w:id="5" w:author="Auteur" w:initials="A">
    <w:p w14:paraId="7C59379F" w14:textId="77777777" w:rsidR="00CD34F6" w:rsidRDefault="00CD34F6" w:rsidP="00CD34F6">
      <w:pPr>
        <w:pStyle w:val="Commentaire"/>
        <w:jc w:val="both"/>
        <w:rPr>
          <w:lang w:val="en-CA"/>
        </w:rPr>
      </w:pPr>
      <w:r>
        <w:rPr>
          <w:rStyle w:val="Marquedecommentaire"/>
        </w:rPr>
        <w:annotationRef/>
      </w:r>
      <w:r>
        <w:rPr>
          <w:rStyle w:val="Marquedecommentaire"/>
        </w:rPr>
        <w:annotationRef/>
      </w:r>
      <w:r w:rsidRPr="00844D09">
        <w:rPr>
          <w:lang w:val="en-CA"/>
        </w:rPr>
        <w:t>“(…) within one year after the adoption of the post-2020 global biodiversity framework (…)”:</w:t>
      </w:r>
    </w:p>
    <w:p w14:paraId="05B7CC0C" w14:textId="77777777" w:rsidR="00CD34F6" w:rsidRPr="00844D09" w:rsidRDefault="00CD34F6" w:rsidP="00CD34F6">
      <w:pPr>
        <w:pStyle w:val="Commentaire"/>
        <w:jc w:val="both"/>
        <w:rPr>
          <w:lang w:val="en-CA"/>
        </w:rPr>
      </w:pPr>
    </w:p>
    <w:p w14:paraId="26B9CE54" w14:textId="3F14AD1A" w:rsidR="00CD34F6" w:rsidRPr="00CD34F6" w:rsidRDefault="00CD34F6" w:rsidP="00CD34F6">
      <w:pPr>
        <w:pStyle w:val="Commentaire"/>
        <w:jc w:val="both"/>
        <w:rPr>
          <w:lang w:val="en-CA"/>
        </w:rPr>
      </w:pPr>
      <w:r w:rsidRPr="00844D09">
        <w:rPr>
          <w:lang w:val="en-CA"/>
        </w:rPr>
        <w:t>This timeline is too tight for subnational governments,</w:t>
      </w:r>
      <w:r>
        <w:rPr>
          <w:lang w:val="en-CA"/>
        </w:rPr>
        <w:t xml:space="preserve"> cities and other local authorities.</w:t>
      </w:r>
      <w:r w:rsidRPr="00844D09">
        <w:rPr>
          <w:lang w:val="en-CA"/>
        </w:rPr>
        <w:t xml:space="preserve"> </w:t>
      </w:r>
      <w:r>
        <w:rPr>
          <w:lang w:val="en-CA"/>
        </w:rPr>
        <w:t>W</w:t>
      </w:r>
      <w:r w:rsidRPr="00844D09">
        <w:rPr>
          <w:lang w:val="en-CA"/>
        </w:rPr>
        <w:t>e suggest changes to bring it in line with the timeline considered for Parties for Item 9 of SBI-3 (i.e., within 2 years of COP-15) or at least within 18 months of COP-15 if the aim is to gather all non-national commitments and core reporting elements, such as those from subnational governments</w:t>
      </w:r>
      <w:r>
        <w:rPr>
          <w:lang w:val="en-CA"/>
        </w:rPr>
        <w:t xml:space="preserve"> and cities</w:t>
      </w:r>
      <w:r w:rsidRPr="00844D09">
        <w:rPr>
          <w:lang w:val="en-CA"/>
        </w:rPr>
        <w:t>, before Parties confirm theirs in their revised NBSAPs.</w:t>
      </w:r>
    </w:p>
  </w:comment>
  <w:comment w:id="6" w:author="Auteur" w:initials="A">
    <w:p w14:paraId="73C6E409" w14:textId="7D459D03" w:rsidR="00CD34F6" w:rsidRDefault="00CD34F6" w:rsidP="00CD34F6">
      <w:pPr>
        <w:pStyle w:val="Commentaire"/>
      </w:pPr>
      <w:r>
        <w:rPr>
          <w:rStyle w:val="Marquedecommentaire"/>
        </w:rPr>
        <w:annotationRef/>
      </w:r>
      <w:r>
        <w:rPr>
          <w:rStyle w:val="Marquedecommentaire"/>
        </w:rPr>
        <w:annotationRef/>
      </w:r>
      <w:r w:rsidRPr="00FD0EBB">
        <w:rPr>
          <w:rStyle w:val="Marquedecommentaire"/>
        </w:rPr>
        <w:t xml:space="preserve">Our major </w:t>
      </w:r>
      <w:r>
        <w:rPr>
          <w:rStyle w:val="Marquedecommentaire"/>
        </w:rPr>
        <w:t>group recommends the addition of « subnational » in the geographic scope.</w:t>
      </w:r>
    </w:p>
  </w:comment>
  <w:comment w:id="7" w:author="Auteur" w:initials="A">
    <w:p w14:paraId="30706E69" w14:textId="665498B1" w:rsidR="00CD34F6" w:rsidRPr="00844D09" w:rsidRDefault="00CD34F6" w:rsidP="00CD34F6">
      <w:pPr>
        <w:pStyle w:val="Commentaire"/>
        <w:rPr>
          <w:lang w:val="en-CA"/>
        </w:rPr>
      </w:pPr>
      <w:r>
        <w:rPr>
          <w:rStyle w:val="Marquedecommentaire"/>
        </w:rPr>
        <w:annotationRef/>
      </w:r>
      <w:r>
        <w:rPr>
          <w:rStyle w:val="Marquedecommentaire"/>
        </w:rPr>
        <w:annotationRef/>
      </w:r>
      <w:r w:rsidRPr="00844D09">
        <w:rPr>
          <w:lang w:val="en-CA"/>
        </w:rPr>
        <w:t xml:space="preserve">Agree with the </w:t>
      </w:r>
      <w:r>
        <w:rPr>
          <w:lang w:val="en-CA"/>
        </w:rPr>
        <w:t>themes</w:t>
      </w:r>
      <w:r w:rsidRPr="00844D09">
        <w:rPr>
          <w:lang w:val="en-CA"/>
        </w:rPr>
        <w:t xml:space="preserve"> of commitment, with some </w:t>
      </w:r>
      <w:r>
        <w:rPr>
          <w:lang w:val="en-CA"/>
        </w:rPr>
        <w:t>possible additions:</w:t>
      </w:r>
    </w:p>
    <w:p w14:paraId="64488F21" w14:textId="77777777" w:rsidR="00CD34F6" w:rsidRPr="00844D09" w:rsidRDefault="00CD34F6" w:rsidP="00CD34F6">
      <w:pPr>
        <w:pStyle w:val="Commentaire"/>
        <w:numPr>
          <w:ilvl w:val="0"/>
          <w:numId w:val="13"/>
        </w:numPr>
        <w:rPr>
          <w:lang w:val="en-CA"/>
        </w:rPr>
      </w:pPr>
      <w:r w:rsidRPr="00844D09">
        <w:rPr>
          <w:lang w:val="en-CA"/>
        </w:rPr>
        <w:t xml:space="preserve"> Education, awareness and knowledge of biodiversity</w:t>
      </w:r>
    </w:p>
    <w:p w14:paraId="7FEEFE85" w14:textId="77777777" w:rsidR="00CD34F6" w:rsidRDefault="00CD34F6" w:rsidP="00CD34F6">
      <w:pPr>
        <w:pStyle w:val="Commentaire"/>
        <w:numPr>
          <w:ilvl w:val="0"/>
          <w:numId w:val="13"/>
        </w:numPr>
      </w:pPr>
      <w:r w:rsidRPr="00844D09">
        <w:rPr>
          <w:lang w:val="en-CA"/>
        </w:rPr>
        <w:t xml:space="preserve"> </w:t>
      </w:r>
      <w:r>
        <w:t>Invasive</w:t>
      </w:r>
      <w:r w:rsidRPr="0092633A">
        <w:t xml:space="preserve"> alien species</w:t>
      </w:r>
    </w:p>
    <w:p w14:paraId="67BC9739" w14:textId="77777777" w:rsidR="00315FC9" w:rsidRDefault="00315FC9" w:rsidP="00CD34F6">
      <w:pPr>
        <w:pStyle w:val="Commentaire"/>
        <w:numPr>
          <w:ilvl w:val="0"/>
          <w:numId w:val="13"/>
        </w:numPr>
      </w:pPr>
      <w:r>
        <w:t xml:space="preserve"> Promoting peoples’ access to quality green &amp; blue spaces</w:t>
      </w:r>
    </w:p>
    <w:p w14:paraId="60C3C8D1" w14:textId="77777777" w:rsidR="00315FC9" w:rsidRDefault="00315FC9" w:rsidP="00CD34F6">
      <w:pPr>
        <w:pStyle w:val="Commentaire"/>
        <w:numPr>
          <w:ilvl w:val="0"/>
          <w:numId w:val="13"/>
        </w:numPr>
      </w:pPr>
      <w:r>
        <w:t xml:space="preserve"> Urban agriculture</w:t>
      </w:r>
    </w:p>
    <w:p w14:paraId="0C7532E5" w14:textId="6B6CE576" w:rsidR="00315FC9" w:rsidRPr="00CD34F6" w:rsidRDefault="00315FC9" w:rsidP="00315FC9">
      <w:pPr>
        <w:pStyle w:val="Commentaire"/>
        <w:numPr>
          <w:ilvl w:val="0"/>
          <w:numId w:val="13"/>
        </w:numPr>
      </w:pPr>
      <w:r>
        <w:t xml:space="preserve"> Urban forestry</w:t>
      </w:r>
    </w:p>
  </w:comment>
  <w:comment w:id="8" w:author="Auteur" w:initials="A">
    <w:p w14:paraId="65BDA647" w14:textId="1257C06B" w:rsidR="00FE31E5" w:rsidRDefault="00FE31E5">
      <w:pPr>
        <w:pStyle w:val="Commentaire"/>
      </w:pPr>
      <w:r>
        <w:rPr>
          <w:rStyle w:val="Marquedecommentaire"/>
        </w:rPr>
        <w:annotationRef/>
      </w:r>
      <w:r>
        <w:rPr>
          <w:lang w:val="en-CA"/>
        </w:rPr>
        <w:t>T</w:t>
      </w:r>
      <w:r w:rsidRPr="00E57C5E">
        <w:rPr>
          <w:lang w:val="en-CA"/>
        </w:rPr>
        <w:t>he timeline should, where appropriate, be aligned with national reporting cycles to ensure there is no double tracking and reporting.</w:t>
      </w:r>
    </w:p>
  </w:comment>
  <w:comment w:id="9" w:author="Auteur" w:initials="A">
    <w:p w14:paraId="453FA49C" w14:textId="586E1CA9" w:rsidR="00910EC7" w:rsidRDefault="00910EC7">
      <w:pPr>
        <w:pStyle w:val="Commentaire"/>
      </w:pPr>
      <w:r>
        <w:rPr>
          <w:rStyle w:val="Marquedecommentaire"/>
        </w:rPr>
        <w:annotationRef/>
      </w:r>
      <w:r>
        <w:t>The key performance indicators would be taken into account regarding</w:t>
      </w:r>
      <w:r w:rsidR="00366D36">
        <w:t xml:space="preserve"> </w:t>
      </w:r>
      <w:r w:rsidR="00366D36" w:rsidRPr="00366D36">
        <w:t>specific approach, such as the PROPOSED HEADLINE AND COMPONENT INDICATORS FOR THE POST-2020 GLOBAL BIODIVERSITY FRAMEWORK or SDG indicators</w:t>
      </w:r>
      <w:r w:rsidR="00366D36">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207A93" w15:done="0"/>
  <w15:commentEx w15:paraId="585D0275" w15:done="0"/>
  <w15:commentEx w15:paraId="26B9CE54" w15:done="0"/>
  <w15:commentEx w15:paraId="73C6E409" w15:done="0"/>
  <w15:commentEx w15:paraId="0C7532E5" w15:done="0"/>
  <w15:commentEx w15:paraId="65BDA647" w15:done="0"/>
  <w15:commentEx w15:paraId="453FA4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207A93" w16cid:durableId="2616872C"/>
  <w16cid:commentId w16cid:paraId="585D0275" w16cid:durableId="261BD0A5"/>
  <w16cid:commentId w16cid:paraId="26B9CE54" w16cid:durableId="26168746"/>
  <w16cid:commentId w16cid:paraId="73C6E409" w16cid:durableId="26168764"/>
  <w16cid:commentId w16cid:paraId="0C7532E5" w16cid:durableId="26168773"/>
  <w16cid:commentId w16cid:paraId="65BDA647" w16cid:durableId="26169013"/>
  <w16cid:commentId w16cid:paraId="453FA49C" w16cid:durableId="261BC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3A0B" w14:textId="77777777" w:rsidR="001B54E5" w:rsidRDefault="001B54E5" w:rsidP="00546B1E">
      <w:r>
        <w:separator/>
      </w:r>
    </w:p>
  </w:endnote>
  <w:endnote w:type="continuationSeparator" w:id="0">
    <w:p w14:paraId="3840CA2E" w14:textId="77777777" w:rsidR="001B54E5" w:rsidRDefault="001B54E5" w:rsidP="00546B1E">
      <w:r>
        <w:continuationSeparator/>
      </w:r>
    </w:p>
  </w:endnote>
  <w:endnote w:type="continuationNotice" w:id="1">
    <w:p w14:paraId="13C22713" w14:textId="77777777" w:rsidR="001B54E5" w:rsidRDefault="001B5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8022" w14:textId="77777777" w:rsidR="00E81DC7" w:rsidRPr="002B1F65" w:rsidRDefault="00E81DC7" w:rsidP="002B1F65">
    <w:pPr>
      <w:pStyle w:val="Pieddepage"/>
      <w:tabs>
        <w:tab w:val="clear" w:pos="4680"/>
        <w:tab w:val="clear" w:pos="9360"/>
      </w:tabs>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2B3F" w14:textId="77777777" w:rsidR="00BF06A8" w:rsidRPr="002B1F65" w:rsidRDefault="00BF06A8" w:rsidP="002B1F65">
    <w:pPr>
      <w:pStyle w:val="Pieddepage"/>
      <w:jc w:val="righ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036F" w14:textId="77777777" w:rsidR="00E6107B" w:rsidRPr="002B1F65" w:rsidRDefault="00E6107B" w:rsidP="002B1F65">
    <w:pPr>
      <w:pStyle w:val="Pieddepage"/>
      <w:tabs>
        <w:tab w:val="clear" w:pos="4680"/>
        <w:tab w:val="clear" w:pos="9360"/>
      </w:tabs>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DCA1" w14:textId="77777777" w:rsidR="001B54E5" w:rsidRPr="006D6648" w:rsidRDefault="001B54E5" w:rsidP="00FD0B8B">
      <w:pPr>
        <w:pStyle w:val="Pieddepage"/>
        <w:jc w:val="left"/>
      </w:pPr>
      <w:r>
        <w:separator/>
      </w:r>
    </w:p>
  </w:footnote>
  <w:footnote w:type="continuationSeparator" w:id="0">
    <w:p w14:paraId="78455ECB" w14:textId="77777777" w:rsidR="001B54E5" w:rsidRDefault="001B54E5" w:rsidP="00546B1E">
      <w:r>
        <w:continuationSeparator/>
      </w:r>
    </w:p>
  </w:footnote>
  <w:footnote w:type="continuationNotice" w:id="1">
    <w:p w14:paraId="3117FBA6" w14:textId="77777777" w:rsidR="001B54E5" w:rsidRDefault="001B54E5"/>
  </w:footnote>
  <w:footnote w:id="2">
    <w:p w14:paraId="28B29224" w14:textId="362C71DE" w:rsidR="00B105E9" w:rsidRPr="0093768D" w:rsidRDefault="00B105E9" w:rsidP="002B1F65">
      <w:pPr>
        <w:pStyle w:val="Notedebasdepage"/>
        <w:kinsoku w:val="0"/>
        <w:overflowPunct w:val="0"/>
        <w:autoSpaceDE w:val="0"/>
        <w:autoSpaceDN w:val="0"/>
        <w:ind w:firstLine="0"/>
        <w:jc w:val="left"/>
        <w:rPr>
          <w:rFonts w:asciiTheme="majorBidi" w:hAnsiTheme="majorBidi" w:cstheme="majorBidi"/>
          <w:kern w:val="18"/>
          <w:lang w:val="en-CA"/>
        </w:rPr>
      </w:pPr>
      <w:r w:rsidRPr="0093768D">
        <w:rPr>
          <w:rStyle w:val="Appelnotedebasdep"/>
          <w:kern w:val="18"/>
        </w:rPr>
        <w:footnoteRef/>
      </w:r>
      <w:r w:rsidRPr="0093768D">
        <w:rPr>
          <w:kern w:val="18"/>
        </w:rPr>
        <w:t xml:space="preserve"> </w:t>
      </w:r>
      <w:r w:rsidRPr="0093768D">
        <w:rPr>
          <w:rFonts w:asciiTheme="majorBidi" w:hAnsiTheme="majorBidi" w:cstheme="majorBidi"/>
          <w:kern w:val="18"/>
        </w:rPr>
        <w:t xml:space="preserve">In </w:t>
      </w:r>
      <w:r w:rsidR="00C96D76" w:rsidRPr="0093768D">
        <w:rPr>
          <w:rFonts w:asciiTheme="majorBidi" w:hAnsiTheme="majorBidi" w:cstheme="majorBidi"/>
          <w:kern w:val="18"/>
        </w:rPr>
        <w:t xml:space="preserve">the present </w:t>
      </w:r>
      <w:r w:rsidRPr="0093768D">
        <w:rPr>
          <w:rFonts w:asciiTheme="majorBidi" w:hAnsiTheme="majorBidi" w:cstheme="majorBidi"/>
          <w:kern w:val="18"/>
        </w:rPr>
        <w:t xml:space="preserve">document, the term </w:t>
      </w:r>
      <w:r w:rsidR="00833B66" w:rsidRPr="0093768D">
        <w:rPr>
          <w:rFonts w:asciiTheme="majorBidi" w:hAnsiTheme="majorBidi" w:cstheme="majorBidi"/>
          <w:kern w:val="18"/>
        </w:rPr>
        <w:t>“</w:t>
      </w:r>
      <w:r w:rsidRPr="0093768D">
        <w:rPr>
          <w:rFonts w:asciiTheme="majorBidi" w:hAnsiTheme="majorBidi" w:cstheme="majorBidi"/>
          <w:kern w:val="18"/>
        </w:rPr>
        <w:t>commitment</w:t>
      </w:r>
      <w:r w:rsidR="00833B66" w:rsidRPr="0093768D">
        <w:rPr>
          <w:rFonts w:asciiTheme="majorBidi" w:hAnsiTheme="majorBidi" w:cstheme="majorBidi"/>
          <w:kern w:val="18"/>
        </w:rPr>
        <w:t>”</w:t>
      </w:r>
      <w:r w:rsidRPr="0093768D">
        <w:rPr>
          <w:rFonts w:asciiTheme="majorBidi" w:hAnsiTheme="majorBidi" w:cstheme="majorBidi"/>
          <w:kern w:val="18"/>
        </w:rPr>
        <w:t xml:space="preserve"> means a pledge to take action and to inspire others to improve the state of biodiversity through different approaches and measures, based on science, and aligned </w:t>
      </w:r>
      <w:r w:rsidR="00404FAF" w:rsidRPr="0093768D">
        <w:rPr>
          <w:rFonts w:asciiTheme="majorBidi" w:hAnsiTheme="majorBidi" w:cstheme="majorBidi"/>
          <w:kern w:val="18"/>
        </w:rPr>
        <w:t xml:space="preserve">with </w:t>
      </w:r>
      <w:r w:rsidRPr="0093768D">
        <w:rPr>
          <w:rFonts w:asciiTheme="majorBidi" w:hAnsiTheme="majorBidi" w:cstheme="majorBidi"/>
          <w:kern w:val="18"/>
        </w:rPr>
        <w:t>one or more of the objectives</w:t>
      </w:r>
      <w:r w:rsidR="00404FAF" w:rsidRPr="0093768D">
        <w:rPr>
          <w:rFonts w:asciiTheme="majorBidi" w:hAnsiTheme="majorBidi" w:cstheme="majorBidi"/>
          <w:kern w:val="18"/>
        </w:rPr>
        <w:t xml:space="preserve"> of the Convention on Biological Diversity</w:t>
      </w:r>
      <w:r w:rsidRPr="0093768D">
        <w:rPr>
          <w:rFonts w:asciiTheme="majorBidi" w:hAnsiTheme="majorBidi" w:cstheme="majorBidi"/>
          <w:kern w:val="18"/>
        </w:rPr>
        <w:t>.</w:t>
      </w:r>
    </w:p>
  </w:footnote>
  <w:footnote w:id="3">
    <w:p w14:paraId="59B082D5" w14:textId="46C4DBAE" w:rsidR="00B105E9" w:rsidRPr="0093768D" w:rsidRDefault="00B105E9" w:rsidP="002B1F65">
      <w:pPr>
        <w:pStyle w:val="Notedebasdepage"/>
        <w:kinsoku w:val="0"/>
        <w:overflowPunct w:val="0"/>
        <w:autoSpaceDE w:val="0"/>
        <w:autoSpaceDN w:val="0"/>
        <w:ind w:firstLine="0"/>
        <w:jc w:val="left"/>
        <w:rPr>
          <w:kern w:val="18"/>
        </w:rPr>
      </w:pPr>
      <w:r w:rsidRPr="0093768D">
        <w:rPr>
          <w:rStyle w:val="Appelnotedebasdep"/>
          <w:kern w:val="18"/>
        </w:rPr>
        <w:footnoteRef/>
      </w:r>
      <w:r w:rsidRPr="0093768D">
        <w:rPr>
          <w:kern w:val="18"/>
        </w:rPr>
        <w:t xml:space="preserve"> </w:t>
      </w:r>
      <w:r w:rsidR="00066386" w:rsidRPr="0093768D">
        <w:rPr>
          <w:kern w:val="18"/>
        </w:rPr>
        <w:t>See</w:t>
      </w:r>
      <w:r w:rsidRPr="0093768D">
        <w:rPr>
          <w:kern w:val="18"/>
        </w:rPr>
        <w:t xml:space="preserve"> </w:t>
      </w:r>
      <w:hyperlink r:id="rId1" w:history="1">
        <w:r w:rsidRPr="0093768D">
          <w:rPr>
            <w:rStyle w:val="Lienhypertexte"/>
            <w:kern w:val="18"/>
          </w:rPr>
          <w:t>https://www.cbd.int/cop/cop-14/annoucement/nature-action-agenda-egypt-to-china-en.pdf</w:t>
        </w:r>
      </w:hyperlink>
      <w:r w:rsidR="00066386" w:rsidRPr="0093768D">
        <w:rPr>
          <w:rStyle w:val="Lienhypertexte"/>
          <w:kern w:val="18"/>
        </w:rPr>
        <w:t>. See also</w:t>
      </w:r>
      <w:r w:rsidR="00383DC3" w:rsidRPr="0093768D">
        <w:rPr>
          <w:kern w:val="18"/>
        </w:rPr>
        <w:t xml:space="preserve"> </w:t>
      </w:r>
      <w:hyperlink r:id="rId2" w:history="1">
        <w:r w:rsidR="002F633D" w:rsidRPr="0093768D">
          <w:rPr>
            <w:rStyle w:val="Lienhypertexte"/>
            <w:kern w:val="18"/>
          </w:rPr>
          <w:t>https://www.cbd.int/portals/action-agenda/</w:t>
        </w:r>
      </w:hyperlink>
    </w:p>
  </w:footnote>
  <w:footnote w:id="4">
    <w:p w14:paraId="1B9F58A0" w14:textId="1AA9A1BE" w:rsidR="00A60CD7" w:rsidRPr="0093768D" w:rsidRDefault="00A60CD7" w:rsidP="002B1F65">
      <w:pPr>
        <w:pStyle w:val="Notedebasdepage"/>
        <w:kinsoku w:val="0"/>
        <w:overflowPunct w:val="0"/>
        <w:autoSpaceDE w:val="0"/>
        <w:autoSpaceDN w:val="0"/>
        <w:ind w:firstLine="0"/>
        <w:jc w:val="left"/>
        <w:rPr>
          <w:kern w:val="18"/>
        </w:rPr>
      </w:pPr>
      <w:r w:rsidRPr="0093768D">
        <w:rPr>
          <w:rStyle w:val="Appelnotedebasdep"/>
          <w:kern w:val="18"/>
        </w:rPr>
        <w:footnoteRef/>
      </w:r>
      <w:r w:rsidRPr="0093768D">
        <w:rPr>
          <w:kern w:val="18"/>
        </w:rPr>
        <w:t xml:space="preserve"> More information is included </w:t>
      </w:r>
      <w:r w:rsidRPr="002B1F65">
        <w:rPr>
          <w:kern w:val="18"/>
        </w:rPr>
        <w:t>CBD/SBI/3/INF/</w:t>
      </w:r>
      <w:r w:rsidR="001B18DF">
        <w:rPr>
          <w:kern w:val="18"/>
        </w:rPr>
        <w:t>20</w:t>
      </w:r>
      <w:r w:rsidR="0093768D" w:rsidRPr="0093768D">
        <w:rPr>
          <w:kern w:val="18"/>
        </w:rPr>
        <w:t>.</w:t>
      </w:r>
    </w:p>
  </w:footnote>
  <w:footnote w:id="5">
    <w:p w14:paraId="604724F1" w14:textId="08556AC8" w:rsidR="00CB31D7" w:rsidRPr="0093768D" w:rsidRDefault="00CB31D7" w:rsidP="002B1F65">
      <w:pPr>
        <w:pStyle w:val="Notedebasdepage"/>
        <w:kinsoku w:val="0"/>
        <w:overflowPunct w:val="0"/>
        <w:autoSpaceDE w:val="0"/>
        <w:autoSpaceDN w:val="0"/>
        <w:ind w:firstLine="0"/>
        <w:jc w:val="left"/>
        <w:rPr>
          <w:kern w:val="18"/>
        </w:rPr>
      </w:pPr>
      <w:r w:rsidRPr="0093768D">
        <w:rPr>
          <w:rStyle w:val="Appelnotedebasdep"/>
          <w:kern w:val="18"/>
        </w:rPr>
        <w:footnoteRef/>
      </w:r>
      <w:r w:rsidRPr="0093768D">
        <w:rPr>
          <w:kern w:val="18"/>
        </w:rPr>
        <w:t xml:space="preserve"> For actors who have already submitted their commitments as per </w:t>
      </w:r>
      <w:r w:rsidR="002D3BDE">
        <w:rPr>
          <w:kern w:val="18"/>
        </w:rPr>
        <w:t>d</w:t>
      </w:r>
      <w:r w:rsidRPr="0093768D">
        <w:rPr>
          <w:kern w:val="18"/>
        </w:rPr>
        <w:t xml:space="preserve">ecision 14/34, the Secretariat will facilitate measures to update their commitments on the online Sharm El Sheikh to Kunming Action Agenda for Nature and </w:t>
      </w:r>
      <w:r w:rsidR="000E044B">
        <w:rPr>
          <w:kern w:val="18"/>
        </w:rPr>
        <w:t>P</w:t>
      </w:r>
      <w:r w:rsidRPr="0093768D">
        <w:rPr>
          <w:kern w:val="18"/>
        </w:rPr>
        <w:t>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A9B8" w14:textId="415598C6" w:rsidR="00E81DC7" w:rsidRPr="002B1F65" w:rsidRDefault="00271B19" w:rsidP="002B1F65">
    <w:pPr>
      <w:suppressLineNumbers/>
      <w:suppressAutoHyphens/>
      <w:jc w:val="left"/>
      <w:rPr>
        <w:rFonts w:ascii="Times New Roman" w:hAnsi="Times New Roman" w:cs="Times New Roman"/>
        <w:snapToGrid w:val="0"/>
        <w:kern w:val="2"/>
        <w:lang w:val="en-GB"/>
      </w:rPr>
    </w:pPr>
    <w:r>
      <w:rPr>
        <w:rFonts w:ascii="Times New Roman" w:hAnsi="Times New Roman" w:cs="Times New Roman"/>
        <w:snapToGrid w:val="0"/>
        <w:kern w:val="2"/>
        <w:lang w:val="en-GB"/>
      </w:rPr>
      <w:t>CBD/SBI/3/11/Add.6</w:t>
    </w:r>
  </w:p>
  <w:p w14:paraId="7C92BAF3" w14:textId="70B85158" w:rsidR="00E81DC7" w:rsidRPr="002B1F65" w:rsidRDefault="00E81DC7" w:rsidP="00D04E61">
    <w:pPr>
      <w:pStyle w:val="En-tte"/>
      <w:suppressLineNumbers/>
      <w:suppressAutoHyphens/>
      <w:spacing w:after="240"/>
      <w:jc w:val="left"/>
      <w:rPr>
        <w:rFonts w:ascii="Times New Roman" w:hAnsi="Times New Roman" w:cs="Times New Roman"/>
      </w:rPr>
    </w:pPr>
    <w:r w:rsidRPr="002B1F65">
      <w:rPr>
        <w:rFonts w:ascii="Times New Roman" w:hAnsi="Times New Roman" w:cs="Times New Roman"/>
      </w:rPr>
      <w:t xml:space="preserve">Page </w:t>
    </w:r>
    <w:r w:rsidRPr="002B1F65">
      <w:rPr>
        <w:rFonts w:ascii="Times New Roman" w:hAnsi="Times New Roman" w:cs="Times New Roman"/>
      </w:rPr>
      <w:fldChar w:fldCharType="begin"/>
    </w:r>
    <w:r w:rsidRPr="002B1F65">
      <w:rPr>
        <w:rFonts w:ascii="Times New Roman" w:hAnsi="Times New Roman" w:cs="Times New Roman"/>
      </w:rPr>
      <w:instrText xml:space="preserve"> PAGE   \* MERGEFORMAT </w:instrText>
    </w:r>
    <w:r w:rsidRPr="002B1F65">
      <w:rPr>
        <w:rFonts w:ascii="Times New Roman" w:hAnsi="Times New Roman" w:cs="Times New Roman"/>
      </w:rPr>
      <w:fldChar w:fldCharType="separate"/>
    </w:r>
    <w:r w:rsidRPr="002B1F65">
      <w:rPr>
        <w:rFonts w:ascii="Times New Roman" w:hAnsi="Times New Roman" w:cs="Times New Roman"/>
        <w:noProof/>
      </w:rPr>
      <w:t>1</w:t>
    </w:r>
    <w:r w:rsidRPr="002B1F65">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6BEA" w14:textId="2DE3EA75" w:rsidR="00656E32" w:rsidRPr="002B1F65" w:rsidRDefault="00271B19" w:rsidP="002B1F65">
    <w:pPr>
      <w:suppressLineNumbers/>
      <w:suppressAutoHyphens/>
      <w:jc w:val="right"/>
      <w:rPr>
        <w:rFonts w:ascii="Times New Roman" w:hAnsi="Times New Roman" w:cs="Times New Roman"/>
        <w:noProof/>
        <w:snapToGrid w:val="0"/>
        <w:kern w:val="2"/>
        <w:lang w:val="en-GB"/>
      </w:rPr>
    </w:pPr>
    <w:r>
      <w:rPr>
        <w:rFonts w:ascii="Times New Roman" w:hAnsi="Times New Roman" w:cs="Times New Roman"/>
        <w:noProof/>
        <w:snapToGrid w:val="0"/>
        <w:kern w:val="2"/>
        <w:lang w:val="en-GB"/>
      </w:rPr>
      <w:t>CBD/SBI/3/11/Add.6</w:t>
    </w:r>
  </w:p>
  <w:p w14:paraId="39AE13EF" w14:textId="608FF31A" w:rsidR="00E81DC7" w:rsidRPr="002B1F65" w:rsidRDefault="00656E32" w:rsidP="00D04E61">
    <w:pPr>
      <w:pStyle w:val="En-tte"/>
      <w:suppressLineNumbers/>
      <w:suppressAutoHyphens/>
      <w:spacing w:after="240"/>
      <w:jc w:val="right"/>
      <w:rPr>
        <w:rFonts w:ascii="Times New Roman" w:hAnsi="Times New Roman" w:cs="Times New Roman"/>
        <w:noProof/>
        <w:lang w:val="en-GB"/>
      </w:rPr>
    </w:pPr>
    <w:r w:rsidRPr="002B1F65">
      <w:rPr>
        <w:rFonts w:ascii="Times New Roman" w:hAnsi="Times New Roman" w:cs="Times New Roman"/>
        <w:noProof/>
        <w:lang w:val="en-GB"/>
      </w:rPr>
      <w:t xml:space="preserve">Page </w:t>
    </w:r>
    <w:r w:rsidRPr="002B1F65">
      <w:rPr>
        <w:rFonts w:ascii="Times New Roman" w:hAnsi="Times New Roman" w:cs="Times New Roman"/>
        <w:noProof/>
        <w:lang w:val="en-GB"/>
      </w:rPr>
      <w:fldChar w:fldCharType="begin"/>
    </w:r>
    <w:r w:rsidRPr="002B1F65">
      <w:rPr>
        <w:rFonts w:ascii="Times New Roman" w:hAnsi="Times New Roman" w:cs="Times New Roman"/>
        <w:noProof/>
        <w:lang w:val="en-GB"/>
      </w:rPr>
      <w:instrText xml:space="preserve"> PAGE   \* MERGEFORMAT </w:instrText>
    </w:r>
    <w:r w:rsidRPr="002B1F65">
      <w:rPr>
        <w:rFonts w:ascii="Times New Roman" w:hAnsi="Times New Roman" w:cs="Times New Roman"/>
        <w:noProof/>
        <w:lang w:val="en-GB"/>
      </w:rPr>
      <w:fldChar w:fldCharType="separate"/>
    </w:r>
    <w:r w:rsidRPr="002B1F65">
      <w:rPr>
        <w:rFonts w:ascii="Times New Roman" w:hAnsi="Times New Roman" w:cs="Times New Roman"/>
        <w:noProof/>
        <w:lang w:val="en-GB"/>
      </w:rPr>
      <w:t>2</w:t>
    </w:r>
    <w:r w:rsidRPr="002B1F65">
      <w:rPr>
        <w:rFonts w:ascii="Times New Roman" w:hAnsi="Times New Roman" w:cs="Times New Roman"/>
        <w:noProof/>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5C04" w14:textId="7404D876" w:rsidR="00E6107B" w:rsidRPr="002B1F65" w:rsidRDefault="00E6107B" w:rsidP="002B1F65">
    <w:pPr>
      <w:pStyle w:val="En-tte"/>
      <w:tabs>
        <w:tab w:val="clear" w:pos="4680"/>
        <w:tab w:val="clear" w:pos="936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5A2E"/>
    <w:multiLevelType w:val="hybridMultilevel"/>
    <w:tmpl w:val="7F94F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A7A94"/>
    <w:multiLevelType w:val="hybridMultilevel"/>
    <w:tmpl w:val="BB5686EE"/>
    <w:lvl w:ilvl="0" w:tplc="069291EE">
      <w:start w:val="1"/>
      <w:numFmt w:val="lowerLetter"/>
      <w:lvlText w:val="(%1)"/>
      <w:lvlJc w:val="left"/>
      <w:pPr>
        <w:ind w:left="1080" w:hanging="360"/>
      </w:pPr>
      <w:rPr>
        <w:rFonts w:asciiTheme="majorBidi" w:eastAsia="Times New Roman" w:hAnsiTheme="majorBidi" w:cstheme="majorBidi"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2451B85"/>
    <w:multiLevelType w:val="hybridMultilevel"/>
    <w:tmpl w:val="5E1CE5DC"/>
    <w:lvl w:ilvl="0" w:tplc="0409000F">
      <w:start w:val="1"/>
      <w:numFmt w:val="decimal"/>
      <w:lvlText w:val="%1."/>
      <w:lvlJc w:val="left"/>
      <w:pPr>
        <w:ind w:left="720" w:hanging="360"/>
      </w:pPr>
      <w:rPr>
        <w:rFonts w:hint="default"/>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F1AA0"/>
    <w:multiLevelType w:val="hybridMultilevel"/>
    <w:tmpl w:val="9412232A"/>
    <w:lvl w:ilvl="0" w:tplc="C2607344">
      <w:start w:val="1"/>
      <w:numFmt w:val="decimal"/>
      <w:lvlText w:val="%1."/>
      <w:lvlJc w:val="left"/>
      <w:pPr>
        <w:tabs>
          <w:tab w:val="num" w:pos="924"/>
        </w:tabs>
        <w:ind w:left="927" w:hanging="360"/>
      </w:pPr>
      <w:rPr>
        <w:rFonts w:hint="default"/>
        <w:b w:val="0"/>
        <w:bCs w:val="0"/>
        <w:lang w:val="en-G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A250FAE"/>
    <w:multiLevelType w:val="hybridMultilevel"/>
    <w:tmpl w:val="D610A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20463"/>
    <w:multiLevelType w:val="hybridMultilevel"/>
    <w:tmpl w:val="CF12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3601D"/>
    <w:multiLevelType w:val="hybridMultilevel"/>
    <w:tmpl w:val="00C04082"/>
    <w:lvl w:ilvl="0" w:tplc="1604E99A">
      <w:start w:val="1"/>
      <w:numFmt w:val="upperRoman"/>
      <w:lvlText w:val="%1."/>
      <w:lvlJc w:val="left"/>
      <w:pPr>
        <w:ind w:left="1080" w:hanging="72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4B94751"/>
    <w:multiLevelType w:val="hybridMultilevel"/>
    <w:tmpl w:val="9BD6DB28"/>
    <w:lvl w:ilvl="0" w:tplc="3AF0790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8DA4252"/>
    <w:multiLevelType w:val="hybridMultilevel"/>
    <w:tmpl w:val="BDE0B3CC"/>
    <w:lvl w:ilvl="0" w:tplc="8D92A6BA">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67C55E4"/>
    <w:multiLevelType w:val="hybridMultilevel"/>
    <w:tmpl w:val="4DCA9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4"/>
  </w:num>
  <w:num w:numId="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A" w:vendorID="64" w:dllVersion="409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defaultTabStop w:val="720"/>
  <w:hyphenationZone w:val="425"/>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3A"/>
    <w:rsid w:val="00004245"/>
    <w:rsid w:val="00004F82"/>
    <w:rsid w:val="0001086F"/>
    <w:rsid w:val="00023A7E"/>
    <w:rsid w:val="00041538"/>
    <w:rsid w:val="00042A8B"/>
    <w:rsid w:val="00044EE7"/>
    <w:rsid w:val="00047B34"/>
    <w:rsid w:val="00053886"/>
    <w:rsid w:val="0006305E"/>
    <w:rsid w:val="00064354"/>
    <w:rsid w:val="00066035"/>
    <w:rsid w:val="00066386"/>
    <w:rsid w:val="0007050F"/>
    <w:rsid w:val="000736F2"/>
    <w:rsid w:val="00077229"/>
    <w:rsid w:val="00082983"/>
    <w:rsid w:val="00083B09"/>
    <w:rsid w:val="0008595E"/>
    <w:rsid w:val="00092564"/>
    <w:rsid w:val="000A07AA"/>
    <w:rsid w:val="000B2665"/>
    <w:rsid w:val="000B75FE"/>
    <w:rsid w:val="000C45D4"/>
    <w:rsid w:val="000C7E1D"/>
    <w:rsid w:val="000D0956"/>
    <w:rsid w:val="000D3D12"/>
    <w:rsid w:val="000D533E"/>
    <w:rsid w:val="000E044B"/>
    <w:rsid w:val="000E22E1"/>
    <w:rsid w:val="000F69DD"/>
    <w:rsid w:val="001106F5"/>
    <w:rsid w:val="00114A16"/>
    <w:rsid w:val="0011785A"/>
    <w:rsid w:val="001228D8"/>
    <w:rsid w:val="00133254"/>
    <w:rsid w:val="0014022C"/>
    <w:rsid w:val="00144006"/>
    <w:rsid w:val="001545F5"/>
    <w:rsid w:val="001550DD"/>
    <w:rsid w:val="00160576"/>
    <w:rsid w:val="00167CFF"/>
    <w:rsid w:val="00170C21"/>
    <w:rsid w:val="00180052"/>
    <w:rsid w:val="001804F8"/>
    <w:rsid w:val="00190565"/>
    <w:rsid w:val="00194E6A"/>
    <w:rsid w:val="00196604"/>
    <w:rsid w:val="001971A4"/>
    <w:rsid w:val="001A0B77"/>
    <w:rsid w:val="001A0FCA"/>
    <w:rsid w:val="001A305E"/>
    <w:rsid w:val="001A3843"/>
    <w:rsid w:val="001A692A"/>
    <w:rsid w:val="001B18DF"/>
    <w:rsid w:val="001B54E5"/>
    <w:rsid w:val="001C4B97"/>
    <w:rsid w:val="001E28CE"/>
    <w:rsid w:val="001E57A3"/>
    <w:rsid w:val="001E7AF9"/>
    <w:rsid w:val="001F0AC6"/>
    <w:rsid w:val="001F58F3"/>
    <w:rsid w:val="0020259C"/>
    <w:rsid w:val="00202A6B"/>
    <w:rsid w:val="00207B2D"/>
    <w:rsid w:val="00212A10"/>
    <w:rsid w:val="00215A6E"/>
    <w:rsid w:val="00216296"/>
    <w:rsid w:val="00221713"/>
    <w:rsid w:val="0023662F"/>
    <w:rsid w:val="00244A20"/>
    <w:rsid w:val="0024575E"/>
    <w:rsid w:val="00254C91"/>
    <w:rsid w:val="00257754"/>
    <w:rsid w:val="00264E3F"/>
    <w:rsid w:val="00271B19"/>
    <w:rsid w:val="00272171"/>
    <w:rsid w:val="0027399A"/>
    <w:rsid w:val="00276573"/>
    <w:rsid w:val="00281650"/>
    <w:rsid w:val="00284F85"/>
    <w:rsid w:val="00297346"/>
    <w:rsid w:val="002A7021"/>
    <w:rsid w:val="002B1A66"/>
    <w:rsid w:val="002B1F65"/>
    <w:rsid w:val="002B64D6"/>
    <w:rsid w:val="002B7D9C"/>
    <w:rsid w:val="002C2A04"/>
    <w:rsid w:val="002C33BA"/>
    <w:rsid w:val="002C7552"/>
    <w:rsid w:val="002D15F2"/>
    <w:rsid w:val="002D3BDE"/>
    <w:rsid w:val="002E16C8"/>
    <w:rsid w:val="002E40CE"/>
    <w:rsid w:val="002E7D43"/>
    <w:rsid w:val="002F3443"/>
    <w:rsid w:val="002F3C10"/>
    <w:rsid w:val="002F42DA"/>
    <w:rsid w:val="002F633D"/>
    <w:rsid w:val="002F64D2"/>
    <w:rsid w:val="003073C8"/>
    <w:rsid w:val="00315FC9"/>
    <w:rsid w:val="00320609"/>
    <w:rsid w:val="00322BFD"/>
    <w:rsid w:val="003272CE"/>
    <w:rsid w:val="0033320A"/>
    <w:rsid w:val="00333A4B"/>
    <w:rsid w:val="0033537C"/>
    <w:rsid w:val="00337679"/>
    <w:rsid w:val="00341515"/>
    <w:rsid w:val="003421DE"/>
    <w:rsid w:val="00343D0E"/>
    <w:rsid w:val="00344981"/>
    <w:rsid w:val="00345095"/>
    <w:rsid w:val="00345887"/>
    <w:rsid w:val="00355534"/>
    <w:rsid w:val="00355D85"/>
    <w:rsid w:val="003561B3"/>
    <w:rsid w:val="00363EF0"/>
    <w:rsid w:val="00366130"/>
    <w:rsid w:val="00366D36"/>
    <w:rsid w:val="0037024C"/>
    <w:rsid w:val="0037207A"/>
    <w:rsid w:val="00374ABD"/>
    <w:rsid w:val="003750D5"/>
    <w:rsid w:val="003764B7"/>
    <w:rsid w:val="00376FE6"/>
    <w:rsid w:val="0037706E"/>
    <w:rsid w:val="00377075"/>
    <w:rsid w:val="00377A58"/>
    <w:rsid w:val="003827F4"/>
    <w:rsid w:val="00383DC3"/>
    <w:rsid w:val="00386DA9"/>
    <w:rsid w:val="00390838"/>
    <w:rsid w:val="00392D4C"/>
    <w:rsid w:val="0039431F"/>
    <w:rsid w:val="003B26E4"/>
    <w:rsid w:val="003B61A4"/>
    <w:rsid w:val="003C1701"/>
    <w:rsid w:val="003C20B7"/>
    <w:rsid w:val="003D237E"/>
    <w:rsid w:val="003D432C"/>
    <w:rsid w:val="003D5E7C"/>
    <w:rsid w:val="003E0DD5"/>
    <w:rsid w:val="003E6263"/>
    <w:rsid w:val="003E72AE"/>
    <w:rsid w:val="00400C0A"/>
    <w:rsid w:val="00404FAF"/>
    <w:rsid w:val="0040743A"/>
    <w:rsid w:val="00412CBD"/>
    <w:rsid w:val="004261EB"/>
    <w:rsid w:val="004272FC"/>
    <w:rsid w:val="00431707"/>
    <w:rsid w:val="004451B1"/>
    <w:rsid w:val="00455DD6"/>
    <w:rsid w:val="00456C48"/>
    <w:rsid w:val="00456CF1"/>
    <w:rsid w:val="00457266"/>
    <w:rsid w:val="004602D3"/>
    <w:rsid w:val="00462A78"/>
    <w:rsid w:val="00464237"/>
    <w:rsid w:val="00473FC6"/>
    <w:rsid w:val="004760F8"/>
    <w:rsid w:val="004777A4"/>
    <w:rsid w:val="00477C77"/>
    <w:rsid w:val="0048394C"/>
    <w:rsid w:val="00487252"/>
    <w:rsid w:val="00492087"/>
    <w:rsid w:val="0049307A"/>
    <w:rsid w:val="004970E5"/>
    <w:rsid w:val="004A230E"/>
    <w:rsid w:val="004A64DA"/>
    <w:rsid w:val="004A658F"/>
    <w:rsid w:val="004A7618"/>
    <w:rsid w:val="004C07BD"/>
    <w:rsid w:val="004C24C3"/>
    <w:rsid w:val="004D4C6B"/>
    <w:rsid w:val="004E1388"/>
    <w:rsid w:val="004E3530"/>
    <w:rsid w:val="004E436D"/>
    <w:rsid w:val="004E56FC"/>
    <w:rsid w:val="004E69AC"/>
    <w:rsid w:val="004E79FD"/>
    <w:rsid w:val="004F228D"/>
    <w:rsid w:val="004F37A0"/>
    <w:rsid w:val="004F51C7"/>
    <w:rsid w:val="0050009D"/>
    <w:rsid w:val="00511847"/>
    <w:rsid w:val="005127D6"/>
    <w:rsid w:val="005161C6"/>
    <w:rsid w:val="00526EC3"/>
    <w:rsid w:val="00532F10"/>
    <w:rsid w:val="00546B1E"/>
    <w:rsid w:val="00561EA4"/>
    <w:rsid w:val="00565132"/>
    <w:rsid w:val="00576EC4"/>
    <w:rsid w:val="00582D3E"/>
    <w:rsid w:val="00584FA2"/>
    <w:rsid w:val="00585809"/>
    <w:rsid w:val="0059000B"/>
    <w:rsid w:val="00592207"/>
    <w:rsid w:val="00597144"/>
    <w:rsid w:val="005A18D7"/>
    <w:rsid w:val="005A3C22"/>
    <w:rsid w:val="005A50E2"/>
    <w:rsid w:val="005A56DD"/>
    <w:rsid w:val="005A7620"/>
    <w:rsid w:val="005A7666"/>
    <w:rsid w:val="005C2D39"/>
    <w:rsid w:val="005D5598"/>
    <w:rsid w:val="005D5E36"/>
    <w:rsid w:val="005D6637"/>
    <w:rsid w:val="005D74D8"/>
    <w:rsid w:val="005E291A"/>
    <w:rsid w:val="005E3883"/>
    <w:rsid w:val="005E5556"/>
    <w:rsid w:val="005F403E"/>
    <w:rsid w:val="005F7FFD"/>
    <w:rsid w:val="00603641"/>
    <w:rsid w:val="00606C82"/>
    <w:rsid w:val="00607490"/>
    <w:rsid w:val="00615E6E"/>
    <w:rsid w:val="00620C0B"/>
    <w:rsid w:val="00644EFC"/>
    <w:rsid w:val="00646124"/>
    <w:rsid w:val="00650A88"/>
    <w:rsid w:val="00656E32"/>
    <w:rsid w:val="0065722E"/>
    <w:rsid w:val="00665759"/>
    <w:rsid w:val="00667A5D"/>
    <w:rsid w:val="00672B05"/>
    <w:rsid w:val="00672C69"/>
    <w:rsid w:val="006744BB"/>
    <w:rsid w:val="00674EBE"/>
    <w:rsid w:val="0067707E"/>
    <w:rsid w:val="00682C19"/>
    <w:rsid w:val="0068588D"/>
    <w:rsid w:val="0068745D"/>
    <w:rsid w:val="006928DD"/>
    <w:rsid w:val="00693A17"/>
    <w:rsid w:val="006952B9"/>
    <w:rsid w:val="006A11BB"/>
    <w:rsid w:val="006A1C6D"/>
    <w:rsid w:val="006A336C"/>
    <w:rsid w:val="006A4B15"/>
    <w:rsid w:val="006A68DE"/>
    <w:rsid w:val="006B3C69"/>
    <w:rsid w:val="006B6E9D"/>
    <w:rsid w:val="006C28E1"/>
    <w:rsid w:val="006C6BB9"/>
    <w:rsid w:val="006C7CD7"/>
    <w:rsid w:val="006D0902"/>
    <w:rsid w:val="006D4109"/>
    <w:rsid w:val="006D52DD"/>
    <w:rsid w:val="006D5D90"/>
    <w:rsid w:val="006D6648"/>
    <w:rsid w:val="006E48A4"/>
    <w:rsid w:val="006E4B8A"/>
    <w:rsid w:val="006F1168"/>
    <w:rsid w:val="006F18A1"/>
    <w:rsid w:val="006F70B3"/>
    <w:rsid w:val="00701D70"/>
    <w:rsid w:val="007113D2"/>
    <w:rsid w:val="0071693E"/>
    <w:rsid w:val="00720432"/>
    <w:rsid w:val="007262F3"/>
    <w:rsid w:val="0072660E"/>
    <w:rsid w:val="00735D94"/>
    <w:rsid w:val="00736573"/>
    <w:rsid w:val="007404D3"/>
    <w:rsid w:val="0074417B"/>
    <w:rsid w:val="00757CD2"/>
    <w:rsid w:val="007618E3"/>
    <w:rsid w:val="0077306A"/>
    <w:rsid w:val="00776282"/>
    <w:rsid w:val="007826FA"/>
    <w:rsid w:val="00784385"/>
    <w:rsid w:val="00785587"/>
    <w:rsid w:val="00787AE6"/>
    <w:rsid w:val="007944E5"/>
    <w:rsid w:val="007A103B"/>
    <w:rsid w:val="007A190C"/>
    <w:rsid w:val="007A3D69"/>
    <w:rsid w:val="007A7221"/>
    <w:rsid w:val="007B03EA"/>
    <w:rsid w:val="007B6C23"/>
    <w:rsid w:val="007D202F"/>
    <w:rsid w:val="007D22D5"/>
    <w:rsid w:val="007D48B0"/>
    <w:rsid w:val="007D4B3A"/>
    <w:rsid w:val="007E0C44"/>
    <w:rsid w:val="007E2A96"/>
    <w:rsid w:val="007F09D0"/>
    <w:rsid w:val="007F30B5"/>
    <w:rsid w:val="007F3C55"/>
    <w:rsid w:val="0080239B"/>
    <w:rsid w:val="0081107D"/>
    <w:rsid w:val="00813AAB"/>
    <w:rsid w:val="0081792C"/>
    <w:rsid w:val="00822151"/>
    <w:rsid w:val="00825BD2"/>
    <w:rsid w:val="00825FF0"/>
    <w:rsid w:val="00833B66"/>
    <w:rsid w:val="0083415E"/>
    <w:rsid w:val="008364C4"/>
    <w:rsid w:val="00836FB1"/>
    <w:rsid w:val="008404C9"/>
    <w:rsid w:val="00844C23"/>
    <w:rsid w:val="00845FD1"/>
    <w:rsid w:val="00857FC0"/>
    <w:rsid w:val="008615EE"/>
    <w:rsid w:val="00866C3C"/>
    <w:rsid w:val="00870706"/>
    <w:rsid w:val="00884FAF"/>
    <w:rsid w:val="0088510E"/>
    <w:rsid w:val="00885B78"/>
    <w:rsid w:val="00890C1F"/>
    <w:rsid w:val="008A0A53"/>
    <w:rsid w:val="008A26BF"/>
    <w:rsid w:val="008A39C4"/>
    <w:rsid w:val="008A4372"/>
    <w:rsid w:val="008A5530"/>
    <w:rsid w:val="008A6FAB"/>
    <w:rsid w:val="008A7130"/>
    <w:rsid w:val="008B5303"/>
    <w:rsid w:val="008B6B3C"/>
    <w:rsid w:val="008C5B0F"/>
    <w:rsid w:val="008D11CF"/>
    <w:rsid w:val="008D13A8"/>
    <w:rsid w:val="008D1C80"/>
    <w:rsid w:val="008D66C0"/>
    <w:rsid w:val="008E0F7D"/>
    <w:rsid w:val="008E20E9"/>
    <w:rsid w:val="00900C73"/>
    <w:rsid w:val="00902D78"/>
    <w:rsid w:val="00910EC7"/>
    <w:rsid w:val="00911179"/>
    <w:rsid w:val="00913633"/>
    <w:rsid w:val="00915498"/>
    <w:rsid w:val="009207E7"/>
    <w:rsid w:val="0093258A"/>
    <w:rsid w:val="0093768D"/>
    <w:rsid w:val="009420A5"/>
    <w:rsid w:val="009445EE"/>
    <w:rsid w:val="00944D33"/>
    <w:rsid w:val="009468F6"/>
    <w:rsid w:val="0095017B"/>
    <w:rsid w:val="0095624E"/>
    <w:rsid w:val="00981152"/>
    <w:rsid w:val="00984E46"/>
    <w:rsid w:val="00996ABE"/>
    <w:rsid w:val="009A194C"/>
    <w:rsid w:val="009A2A96"/>
    <w:rsid w:val="009A78B4"/>
    <w:rsid w:val="009B0CA7"/>
    <w:rsid w:val="009C0F94"/>
    <w:rsid w:val="009C46C2"/>
    <w:rsid w:val="009C5AFE"/>
    <w:rsid w:val="009D1B19"/>
    <w:rsid w:val="009E14BB"/>
    <w:rsid w:val="009E5F58"/>
    <w:rsid w:val="00A02406"/>
    <w:rsid w:val="00A1417D"/>
    <w:rsid w:val="00A1594C"/>
    <w:rsid w:val="00A1743D"/>
    <w:rsid w:val="00A27C7E"/>
    <w:rsid w:val="00A33931"/>
    <w:rsid w:val="00A3474C"/>
    <w:rsid w:val="00A367E1"/>
    <w:rsid w:val="00A410AE"/>
    <w:rsid w:val="00A42628"/>
    <w:rsid w:val="00A44ED0"/>
    <w:rsid w:val="00A458FF"/>
    <w:rsid w:val="00A527CE"/>
    <w:rsid w:val="00A5297E"/>
    <w:rsid w:val="00A55457"/>
    <w:rsid w:val="00A60CD7"/>
    <w:rsid w:val="00A64265"/>
    <w:rsid w:val="00A64723"/>
    <w:rsid w:val="00A67C27"/>
    <w:rsid w:val="00A73D8A"/>
    <w:rsid w:val="00A83C54"/>
    <w:rsid w:val="00A84129"/>
    <w:rsid w:val="00A852F2"/>
    <w:rsid w:val="00A8553F"/>
    <w:rsid w:val="00A86D10"/>
    <w:rsid w:val="00A870C6"/>
    <w:rsid w:val="00A9090F"/>
    <w:rsid w:val="00AA4E57"/>
    <w:rsid w:val="00AA55BB"/>
    <w:rsid w:val="00AB4C3B"/>
    <w:rsid w:val="00AC02EC"/>
    <w:rsid w:val="00AC14AF"/>
    <w:rsid w:val="00AC5845"/>
    <w:rsid w:val="00AC653A"/>
    <w:rsid w:val="00AC76F8"/>
    <w:rsid w:val="00AE1811"/>
    <w:rsid w:val="00AE4911"/>
    <w:rsid w:val="00AE5DEF"/>
    <w:rsid w:val="00B105E9"/>
    <w:rsid w:val="00B14FB6"/>
    <w:rsid w:val="00B26836"/>
    <w:rsid w:val="00B26851"/>
    <w:rsid w:val="00B31AD8"/>
    <w:rsid w:val="00B31BD2"/>
    <w:rsid w:val="00B324E8"/>
    <w:rsid w:val="00B327CF"/>
    <w:rsid w:val="00B337CA"/>
    <w:rsid w:val="00B37564"/>
    <w:rsid w:val="00B37FFD"/>
    <w:rsid w:val="00B42DCC"/>
    <w:rsid w:val="00B549F5"/>
    <w:rsid w:val="00B60904"/>
    <w:rsid w:val="00B6298A"/>
    <w:rsid w:val="00B7041F"/>
    <w:rsid w:val="00B8267E"/>
    <w:rsid w:val="00B84537"/>
    <w:rsid w:val="00B8545B"/>
    <w:rsid w:val="00B90CF4"/>
    <w:rsid w:val="00B929DD"/>
    <w:rsid w:val="00B93211"/>
    <w:rsid w:val="00B94DFF"/>
    <w:rsid w:val="00B965A9"/>
    <w:rsid w:val="00BA0E74"/>
    <w:rsid w:val="00BC35D6"/>
    <w:rsid w:val="00BC56F5"/>
    <w:rsid w:val="00BC62AE"/>
    <w:rsid w:val="00BC6D71"/>
    <w:rsid w:val="00BD1E7A"/>
    <w:rsid w:val="00BD1F20"/>
    <w:rsid w:val="00BD2361"/>
    <w:rsid w:val="00BE367E"/>
    <w:rsid w:val="00BF06A8"/>
    <w:rsid w:val="00BF093D"/>
    <w:rsid w:val="00BF2A07"/>
    <w:rsid w:val="00BF6317"/>
    <w:rsid w:val="00BF7575"/>
    <w:rsid w:val="00C02218"/>
    <w:rsid w:val="00C070B1"/>
    <w:rsid w:val="00C10BC5"/>
    <w:rsid w:val="00C122F1"/>
    <w:rsid w:val="00C2227B"/>
    <w:rsid w:val="00C236F8"/>
    <w:rsid w:val="00C25757"/>
    <w:rsid w:val="00C337EE"/>
    <w:rsid w:val="00C36612"/>
    <w:rsid w:val="00C36A43"/>
    <w:rsid w:val="00C426E7"/>
    <w:rsid w:val="00C44A31"/>
    <w:rsid w:val="00C46F24"/>
    <w:rsid w:val="00C621A2"/>
    <w:rsid w:val="00C661B0"/>
    <w:rsid w:val="00C664F4"/>
    <w:rsid w:val="00C66887"/>
    <w:rsid w:val="00C71E31"/>
    <w:rsid w:val="00C7313F"/>
    <w:rsid w:val="00C7685D"/>
    <w:rsid w:val="00C87A99"/>
    <w:rsid w:val="00C962CE"/>
    <w:rsid w:val="00C96D76"/>
    <w:rsid w:val="00CA01C5"/>
    <w:rsid w:val="00CA76A6"/>
    <w:rsid w:val="00CB0E5A"/>
    <w:rsid w:val="00CB2618"/>
    <w:rsid w:val="00CB31D7"/>
    <w:rsid w:val="00CB5C5C"/>
    <w:rsid w:val="00CD09B6"/>
    <w:rsid w:val="00CD34F6"/>
    <w:rsid w:val="00CE18FC"/>
    <w:rsid w:val="00CE219B"/>
    <w:rsid w:val="00CE4169"/>
    <w:rsid w:val="00CE5762"/>
    <w:rsid w:val="00CF0DC3"/>
    <w:rsid w:val="00CF429C"/>
    <w:rsid w:val="00CF44C2"/>
    <w:rsid w:val="00CF6177"/>
    <w:rsid w:val="00D04E61"/>
    <w:rsid w:val="00D13063"/>
    <w:rsid w:val="00D16378"/>
    <w:rsid w:val="00D24348"/>
    <w:rsid w:val="00D3317E"/>
    <w:rsid w:val="00D34029"/>
    <w:rsid w:val="00D3548A"/>
    <w:rsid w:val="00D41208"/>
    <w:rsid w:val="00D429A8"/>
    <w:rsid w:val="00D457D3"/>
    <w:rsid w:val="00D5528C"/>
    <w:rsid w:val="00D63E1E"/>
    <w:rsid w:val="00D654A5"/>
    <w:rsid w:val="00D70682"/>
    <w:rsid w:val="00D72124"/>
    <w:rsid w:val="00D769E4"/>
    <w:rsid w:val="00D77E33"/>
    <w:rsid w:val="00D807D3"/>
    <w:rsid w:val="00D80EF7"/>
    <w:rsid w:val="00D857E0"/>
    <w:rsid w:val="00D917DA"/>
    <w:rsid w:val="00D94044"/>
    <w:rsid w:val="00DB1E1F"/>
    <w:rsid w:val="00DB7BA4"/>
    <w:rsid w:val="00DC5639"/>
    <w:rsid w:val="00DD21D5"/>
    <w:rsid w:val="00DD372F"/>
    <w:rsid w:val="00DE6B16"/>
    <w:rsid w:val="00E02B3D"/>
    <w:rsid w:val="00E050E9"/>
    <w:rsid w:val="00E0534A"/>
    <w:rsid w:val="00E21E62"/>
    <w:rsid w:val="00E23307"/>
    <w:rsid w:val="00E308B3"/>
    <w:rsid w:val="00E3170A"/>
    <w:rsid w:val="00E33111"/>
    <w:rsid w:val="00E345C4"/>
    <w:rsid w:val="00E44014"/>
    <w:rsid w:val="00E515C8"/>
    <w:rsid w:val="00E54911"/>
    <w:rsid w:val="00E567B6"/>
    <w:rsid w:val="00E57C5E"/>
    <w:rsid w:val="00E6107B"/>
    <w:rsid w:val="00E6132A"/>
    <w:rsid w:val="00E7301E"/>
    <w:rsid w:val="00E731C3"/>
    <w:rsid w:val="00E75782"/>
    <w:rsid w:val="00E75C12"/>
    <w:rsid w:val="00E80F59"/>
    <w:rsid w:val="00E81DC7"/>
    <w:rsid w:val="00E8231A"/>
    <w:rsid w:val="00E8488A"/>
    <w:rsid w:val="00E850F4"/>
    <w:rsid w:val="00E874F2"/>
    <w:rsid w:val="00E90C69"/>
    <w:rsid w:val="00E94DCA"/>
    <w:rsid w:val="00E95F70"/>
    <w:rsid w:val="00EA1C10"/>
    <w:rsid w:val="00EB3339"/>
    <w:rsid w:val="00EB7C8A"/>
    <w:rsid w:val="00EC1088"/>
    <w:rsid w:val="00EC2502"/>
    <w:rsid w:val="00EC4B95"/>
    <w:rsid w:val="00EC6952"/>
    <w:rsid w:val="00ED48E2"/>
    <w:rsid w:val="00EE48F5"/>
    <w:rsid w:val="00EF2954"/>
    <w:rsid w:val="00F006F1"/>
    <w:rsid w:val="00F103D9"/>
    <w:rsid w:val="00F137C0"/>
    <w:rsid w:val="00F140F8"/>
    <w:rsid w:val="00F14832"/>
    <w:rsid w:val="00F14917"/>
    <w:rsid w:val="00F203DB"/>
    <w:rsid w:val="00F229B5"/>
    <w:rsid w:val="00F2752E"/>
    <w:rsid w:val="00F300C2"/>
    <w:rsid w:val="00F3147B"/>
    <w:rsid w:val="00F315BA"/>
    <w:rsid w:val="00F36A51"/>
    <w:rsid w:val="00F40C8A"/>
    <w:rsid w:val="00F619BF"/>
    <w:rsid w:val="00F619D3"/>
    <w:rsid w:val="00F61B4D"/>
    <w:rsid w:val="00F67334"/>
    <w:rsid w:val="00F6736C"/>
    <w:rsid w:val="00F67BA7"/>
    <w:rsid w:val="00F70123"/>
    <w:rsid w:val="00F92BEB"/>
    <w:rsid w:val="00FA06AC"/>
    <w:rsid w:val="00FA5E1F"/>
    <w:rsid w:val="00FC663E"/>
    <w:rsid w:val="00FC6691"/>
    <w:rsid w:val="00FC6FB5"/>
    <w:rsid w:val="00FD0B8B"/>
    <w:rsid w:val="00FD2E12"/>
    <w:rsid w:val="00FD2EED"/>
    <w:rsid w:val="00FD303B"/>
    <w:rsid w:val="00FE017B"/>
    <w:rsid w:val="00FE31E5"/>
    <w:rsid w:val="00FE57FD"/>
    <w:rsid w:val="00FF3682"/>
    <w:rsid w:val="00FF64EB"/>
    <w:rsid w:val="00FF6A14"/>
    <w:rsid w:val="0B058CBD"/>
    <w:rsid w:val="174B9AE0"/>
    <w:rsid w:val="6C7F5F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6EF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0743A"/>
    <w:rPr>
      <w:color w:val="0563C1" w:themeColor="hyperlink"/>
      <w:u w:val="single"/>
    </w:rPr>
  </w:style>
  <w:style w:type="character" w:customStyle="1" w:styleId="UnresolvedMention1">
    <w:name w:val="Unresolved Mention1"/>
    <w:basedOn w:val="Policepardfaut"/>
    <w:uiPriority w:val="99"/>
    <w:semiHidden/>
    <w:unhideWhenUsed/>
    <w:rsid w:val="0040743A"/>
    <w:rPr>
      <w:color w:val="605E5C"/>
      <w:shd w:val="clear" w:color="auto" w:fill="E1DFDD"/>
    </w:rPr>
  </w:style>
  <w:style w:type="paragraph" w:styleId="Notedebasdepage">
    <w:name w:val="footnote text"/>
    <w:aliases w:val="f,Char Char Char Char Char Char Char Char Char,fn,footnote text,Footnote ak,Footnotes,ft,fn cafc,fn Char,footnote text Char,Footnotes Char,Footnote ak Char,Footnotes Char Char,Footnote Text Char Char,fn Char Char,fn Char1 Char, Char"/>
    <w:basedOn w:val="Normal"/>
    <w:link w:val="NotedebasdepageCar"/>
    <w:qFormat/>
    <w:rsid w:val="0033320A"/>
    <w:pPr>
      <w:keepLines/>
      <w:spacing w:after="60"/>
      <w:ind w:firstLine="720"/>
      <w:jc w:val="both"/>
    </w:pPr>
    <w:rPr>
      <w:rFonts w:ascii="Times New Roman" w:eastAsia="Times New Roman" w:hAnsi="Times New Roman" w:cs="Times New Roman"/>
      <w:sz w:val="18"/>
      <w:szCs w:val="24"/>
      <w:lang w:val="en-GB" w:eastAsia="en-US"/>
    </w:rPr>
  </w:style>
  <w:style w:type="character" w:customStyle="1" w:styleId="NotedebasdepageCar">
    <w:name w:val="Note de bas de page Car"/>
    <w:aliases w:val="f Car,Char Char Char Char Char Char Char Char Char Car,fn Car,footnote text Car,Footnote ak Car,Footnotes Car,ft Car,fn cafc Car,fn Char Car,footnote text Char Car,Footnotes Char Car,Footnote ak Char Car,Footnotes Char Char Car"/>
    <w:basedOn w:val="Policepardfaut"/>
    <w:link w:val="Notedebasdepage"/>
    <w:rsid w:val="0033320A"/>
    <w:rPr>
      <w:rFonts w:ascii="Times New Roman" w:eastAsia="Times New Roman" w:hAnsi="Times New Roman" w:cs="Times New Roman"/>
      <w:sz w:val="18"/>
      <w:szCs w:val="24"/>
      <w:lang w:val="en-GB" w:eastAsia="en-US"/>
    </w:rPr>
  </w:style>
  <w:style w:type="paragraph" w:customStyle="1" w:styleId="Default">
    <w:name w:val="Default"/>
    <w:rsid w:val="00284F85"/>
    <w:pPr>
      <w:autoSpaceDE w:val="0"/>
      <w:autoSpaceDN w:val="0"/>
      <w:adjustRightInd w:val="0"/>
      <w:jc w:val="left"/>
    </w:pPr>
    <w:rPr>
      <w:rFonts w:ascii="Times New Roman" w:hAnsi="Times New Roman" w:cs="Times New Roman"/>
      <w:color w:val="000000"/>
      <w:sz w:val="24"/>
      <w:szCs w:val="24"/>
    </w:rPr>
  </w:style>
  <w:style w:type="paragraph" w:styleId="Paragraphedeliste">
    <w:name w:val="List Paragraph"/>
    <w:basedOn w:val="Normal"/>
    <w:uiPriority w:val="34"/>
    <w:qFormat/>
    <w:rsid w:val="00477C77"/>
    <w:pPr>
      <w:ind w:left="720"/>
      <w:contextualSpacing/>
    </w:pPr>
  </w:style>
  <w:style w:type="paragraph" w:styleId="En-tte">
    <w:name w:val="header"/>
    <w:basedOn w:val="Normal"/>
    <w:link w:val="En-tteCar"/>
    <w:uiPriority w:val="99"/>
    <w:unhideWhenUsed/>
    <w:rsid w:val="00546B1E"/>
    <w:pPr>
      <w:tabs>
        <w:tab w:val="center" w:pos="4680"/>
        <w:tab w:val="right" w:pos="9360"/>
      </w:tabs>
    </w:pPr>
  </w:style>
  <w:style w:type="character" w:customStyle="1" w:styleId="En-tteCar">
    <w:name w:val="En-tête Car"/>
    <w:basedOn w:val="Policepardfaut"/>
    <w:link w:val="En-tte"/>
    <w:uiPriority w:val="99"/>
    <w:rsid w:val="00546B1E"/>
  </w:style>
  <w:style w:type="paragraph" w:styleId="Pieddepage">
    <w:name w:val="footer"/>
    <w:basedOn w:val="Normal"/>
    <w:link w:val="PieddepageCar"/>
    <w:uiPriority w:val="99"/>
    <w:unhideWhenUsed/>
    <w:rsid w:val="00546B1E"/>
    <w:pPr>
      <w:tabs>
        <w:tab w:val="center" w:pos="4680"/>
        <w:tab w:val="right" w:pos="9360"/>
      </w:tabs>
    </w:pPr>
  </w:style>
  <w:style w:type="character" w:customStyle="1" w:styleId="PieddepageCar">
    <w:name w:val="Pied de page Car"/>
    <w:basedOn w:val="Policepardfaut"/>
    <w:link w:val="Pieddepage"/>
    <w:uiPriority w:val="99"/>
    <w:rsid w:val="00546B1E"/>
  </w:style>
  <w:style w:type="paragraph" w:styleId="Textedebulles">
    <w:name w:val="Balloon Text"/>
    <w:basedOn w:val="Normal"/>
    <w:link w:val="TextedebullesCar"/>
    <w:uiPriority w:val="99"/>
    <w:semiHidden/>
    <w:unhideWhenUsed/>
    <w:rsid w:val="00546B1E"/>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B1E"/>
    <w:rPr>
      <w:rFonts w:ascii="Segoe UI" w:hAnsi="Segoe UI" w:cs="Segoe UI"/>
      <w:sz w:val="18"/>
      <w:szCs w:val="18"/>
    </w:rPr>
  </w:style>
  <w:style w:type="character" w:customStyle="1" w:styleId="Para1Char">
    <w:name w:val="Para1 Char"/>
    <w:link w:val="Para1"/>
    <w:locked/>
    <w:rsid w:val="00844C23"/>
    <w:rPr>
      <w:rFonts w:ascii="Times New Roman" w:eastAsia="Times New Roman" w:hAnsi="Times New Roman" w:cs="Times New Roman"/>
      <w:szCs w:val="18"/>
      <w:lang w:val="en-GB"/>
    </w:rPr>
  </w:style>
  <w:style w:type="paragraph" w:customStyle="1" w:styleId="Para1">
    <w:name w:val="Para1"/>
    <w:basedOn w:val="Normal"/>
    <w:link w:val="Para1Char"/>
    <w:rsid w:val="00844C23"/>
    <w:pPr>
      <w:numPr>
        <w:numId w:val="3"/>
      </w:numPr>
      <w:snapToGrid w:val="0"/>
      <w:spacing w:before="120" w:after="120"/>
      <w:jc w:val="both"/>
    </w:pPr>
    <w:rPr>
      <w:rFonts w:ascii="Times New Roman" w:eastAsia="Times New Roman" w:hAnsi="Times New Roman" w:cs="Times New Roman"/>
      <w:szCs w:val="18"/>
      <w:lang w:val="en-GB"/>
    </w:rPr>
  </w:style>
  <w:style w:type="character" w:styleId="Marquedecommentaire">
    <w:name w:val="annotation reference"/>
    <w:basedOn w:val="Policepardfaut"/>
    <w:uiPriority w:val="99"/>
    <w:semiHidden/>
    <w:unhideWhenUsed/>
    <w:rsid w:val="002F42DA"/>
    <w:rPr>
      <w:sz w:val="16"/>
      <w:szCs w:val="16"/>
    </w:rPr>
  </w:style>
  <w:style w:type="paragraph" w:styleId="Commentaire">
    <w:name w:val="annotation text"/>
    <w:basedOn w:val="Normal"/>
    <w:link w:val="CommentaireCar"/>
    <w:uiPriority w:val="99"/>
    <w:semiHidden/>
    <w:unhideWhenUsed/>
    <w:rsid w:val="002F42DA"/>
    <w:rPr>
      <w:sz w:val="20"/>
      <w:szCs w:val="20"/>
    </w:rPr>
  </w:style>
  <w:style w:type="character" w:customStyle="1" w:styleId="CommentaireCar">
    <w:name w:val="Commentaire Car"/>
    <w:basedOn w:val="Policepardfaut"/>
    <w:link w:val="Commentaire"/>
    <w:uiPriority w:val="99"/>
    <w:semiHidden/>
    <w:rsid w:val="002F42DA"/>
    <w:rPr>
      <w:sz w:val="20"/>
      <w:szCs w:val="20"/>
    </w:rPr>
  </w:style>
  <w:style w:type="paragraph" w:styleId="Objetducommentaire">
    <w:name w:val="annotation subject"/>
    <w:basedOn w:val="Commentaire"/>
    <w:next w:val="Commentaire"/>
    <w:link w:val="ObjetducommentaireCar"/>
    <w:uiPriority w:val="99"/>
    <w:semiHidden/>
    <w:unhideWhenUsed/>
    <w:rsid w:val="002F42DA"/>
    <w:rPr>
      <w:b/>
      <w:bCs/>
    </w:rPr>
  </w:style>
  <w:style w:type="character" w:customStyle="1" w:styleId="ObjetducommentaireCar">
    <w:name w:val="Objet du commentaire Car"/>
    <w:basedOn w:val="CommentaireCar"/>
    <w:link w:val="Objetducommentaire"/>
    <w:uiPriority w:val="99"/>
    <w:semiHidden/>
    <w:rsid w:val="002F42DA"/>
    <w:rPr>
      <w:b/>
      <w:bCs/>
      <w:sz w:val="20"/>
      <w:szCs w:val="20"/>
    </w:rPr>
  </w:style>
  <w:style w:type="paragraph" w:styleId="Notedefin">
    <w:name w:val="endnote text"/>
    <w:basedOn w:val="Normal"/>
    <w:link w:val="NotedefinCar"/>
    <w:uiPriority w:val="99"/>
    <w:semiHidden/>
    <w:unhideWhenUsed/>
    <w:rsid w:val="005F7FFD"/>
    <w:rPr>
      <w:sz w:val="20"/>
      <w:szCs w:val="20"/>
    </w:rPr>
  </w:style>
  <w:style w:type="character" w:customStyle="1" w:styleId="NotedefinCar">
    <w:name w:val="Note de fin Car"/>
    <w:basedOn w:val="Policepardfaut"/>
    <w:link w:val="Notedefin"/>
    <w:uiPriority w:val="99"/>
    <w:semiHidden/>
    <w:rsid w:val="005F7FFD"/>
    <w:rPr>
      <w:sz w:val="20"/>
      <w:szCs w:val="20"/>
    </w:rPr>
  </w:style>
  <w:style w:type="character" w:styleId="Appeldenotedefin">
    <w:name w:val="endnote reference"/>
    <w:basedOn w:val="Policepardfaut"/>
    <w:uiPriority w:val="99"/>
    <w:semiHidden/>
    <w:unhideWhenUsed/>
    <w:rsid w:val="005F7FFD"/>
    <w:rPr>
      <w:vertAlign w:val="superscript"/>
    </w:rPr>
  </w:style>
  <w:style w:type="character" w:styleId="Appelnotedebasdep">
    <w:name w:val="footnote reference"/>
    <w:aliases w:val="-E Fußnotenzeichen,(Diplomarbeit FZ),(Diplomarbeit FZ)1,(Diplomarbeit FZ)2,(Diplomarbeit FZ)3,(Diplomarbeit FZ)4,(Diplomarbeit FZ)5,(Diplomarbeit FZ)6,(Diplomarbeit FZ)7,(Diplomarbeit FZ)8,(Diplomarbeit FZ)9,Ref,[0]"/>
    <w:basedOn w:val="Policepardfaut"/>
    <w:link w:val="BVIfnrChar"/>
    <w:unhideWhenUsed/>
    <w:qFormat/>
    <w:rsid w:val="005C2D39"/>
    <w:rPr>
      <w:vertAlign w:val="superscript"/>
    </w:rPr>
  </w:style>
  <w:style w:type="paragraph" w:styleId="Lgende">
    <w:name w:val="caption"/>
    <w:basedOn w:val="Normal"/>
    <w:next w:val="Normal"/>
    <w:uiPriority w:val="35"/>
    <w:unhideWhenUsed/>
    <w:qFormat/>
    <w:rsid w:val="00FF3682"/>
    <w:pPr>
      <w:spacing w:after="200"/>
    </w:pPr>
    <w:rPr>
      <w:i/>
      <w:iCs/>
      <w:color w:val="44546A" w:themeColor="text2"/>
      <w:sz w:val="18"/>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rsid w:val="00B105E9"/>
    <w:pPr>
      <w:spacing w:after="160" w:line="240" w:lineRule="exact"/>
      <w:jc w:val="both"/>
    </w:pPr>
    <w:rPr>
      <w:vertAlign w:val="superscript"/>
    </w:rPr>
  </w:style>
  <w:style w:type="paragraph" w:customStyle="1" w:styleId="xxmsonormal">
    <w:name w:val="xxmsonormal"/>
    <w:basedOn w:val="Normal"/>
    <w:rsid w:val="00B105E9"/>
    <w:pPr>
      <w:jc w:val="left"/>
    </w:pPr>
    <w:rPr>
      <w:rFonts w:ascii="Calibri" w:hAnsi="Calibri" w:cs="Times New Roman"/>
      <w:lang w:eastAsia="ko-KR"/>
    </w:rPr>
  </w:style>
  <w:style w:type="paragraph" w:styleId="Rvision">
    <w:name w:val="Revision"/>
    <w:hidden/>
    <w:uiPriority w:val="99"/>
    <w:semiHidden/>
    <w:rsid w:val="007A3D69"/>
    <w:pPr>
      <w:jc w:val="left"/>
    </w:pPr>
  </w:style>
  <w:style w:type="table" w:styleId="Grilledutableau">
    <w:name w:val="Table Grid"/>
    <w:basedOn w:val="TableauNormal"/>
    <w:uiPriority w:val="59"/>
    <w:rsid w:val="00C7313F"/>
    <w:pPr>
      <w:jc w:val="left"/>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name">
    <w:name w:val="meeting name"/>
    <w:basedOn w:val="Normal"/>
    <w:qFormat/>
    <w:rsid w:val="00C7313F"/>
    <w:pPr>
      <w:ind w:left="142" w:right="4218" w:hanging="142"/>
      <w:jc w:val="both"/>
    </w:pPr>
    <w:rPr>
      <w:rFonts w:ascii="Times New Roman" w:eastAsia="Times New Roman" w:hAnsi="Times New Roman" w:cs="Times New Roman"/>
      <w:caps/>
      <w:lang w:val="en-GB" w:eastAsia="en-US"/>
    </w:rPr>
  </w:style>
  <w:style w:type="paragraph" w:customStyle="1" w:styleId="Cornernotation">
    <w:name w:val="Corner notation"/>
    <w:basedOn w:val="Normal"/>
    <w:rsid w:val="00C7313F"/>
    <w:pPr>
      <w:ind w:left="170" w:right="3119" w:hanging="170"/>
      <w:jc w:val="left"/>
    </w:pPr>
    <w:rPr>
      <w:rFonts w:ascii="Times New Roman" w:eastAsia="Times New Roman" w:hAnsi="Times New Roman" w:cs="Times New Roman"/>
      <w:szCs w:val="24"/>
      <w:lang w:val="en-GB" w:eastAsia="en-US"/>
    </w:rPr>
  </w:style>
  <w:style w:type="character" w:styleId="Textedelespacerserv">
    <w:name w:val="Placeholder Text"/>
    <w:basedOn w:val="Policepardfaut"/>
    <w:uiPriority w:val="99"/>
    <w:semiHidden/>
    <w:rsid w:val="00C7313F"/>
    <w:rPr>
      <w:color w:val="808080"/>
    </w:rPr>
  </w:style>
  <w:style w:type="character" w:styleId="Mentionnonrsolue">
    <w:name w:val="Unresolved Mention"/>
    <w:basedOn w:val="Policepardfaut"/>
    <w:uiPriority w:val="99"/>
    <w:semiHidden/>
    <w:unhideWhenUsed/>
    <w:rsid w:val="00264E3F"/>
    <w:rPr>
      <w:color w:val="605E5C"/>
      <w:shd w:val="clear" w:color="auto" w:fill="E1DFDD"/>
    </w:rPr>
  </w:style>
  <w:style w:type="paragraph" w:styleId="NormalWeb">
    <w:name w:val="Normal (Web)"/>
    <w:basedOn w:val="Normal"/>
    <w:uiPriority w:val="99"/>
    <w:semiHidden/>
    <w:unhideWhenUsed/>
    <w:rsid w:val="00E95F70"/>
    <w:pPr>
      <w:spacing w:before="100" w:beforeAutospacing="1" w:after="100" w:afterAutospacing="1"/>
      <w:jc w:val="left"/>
    </w:pPr>
    <w:rPr>
      <w:rFonts w:ascii="Times New Roman" w:eastAsia="Times New Roman" w:hAnsi="Times New Roman" w:cs="Times New Roman"/>
      <w:sz w:val="24"/>
      <w:szCs w:val="24"/>
      <w:lang w:val="fr-CA"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73">
      <w:bodyDiv w:val="1"/>
      <w:marLeft w:val="0"/>
      <w:marRight w:val="0"/>
      <w:marTop w:val="0"/>
      <w:marBottom w:val="0"/>
      <w:divBdr>
        <w:top w:val="none" w:sz="0" w:space="0" w:color="auto"/>
        <w:left w:val="none" w:sz="0" w:space="0" w:color="auto"/>
        <w:bottom w:val="none" w:sz="0" w:space="0" w:color="auto"/>
        <w:right w:val="none" w:sz="0" w:space="0" w:color="auto"/>
      </w:divBdr>
    </w:div>
    <w:div w:id="171605825">
      <w:bodyDiv w:val="1"/>
      <w:marLeft w:val="0"/>
      <w:marRight w:val="0"/>
      <w:marTop w:val="0"/>
      <w:marBottom w:val="0"/>
      <w:divBdr>
        <w:top w:val="none" w:sz="0" w:space="0" w:color="auto"/>
        <w:left w:val="none" w:sz="0" w:space="0" w:color="auto"/>
        <w:bottom w:val="none" w:sz="0" w:space="0" w:color="auto"/>
        <w:right w:val="none" w:sz="0" w:space="0" w:color="auto"/>
      </w:divBdr>
      <w:divsChild>
        <w:div w:id="579797279">
          <w:marLeft w:val="0"/>
          <w:marRight w:val="0"/>
          <w:marTop w:val="0"/>
          <w:marBottom w:val="0"/>
          <w:divBdr>
            <w:top w:val="none" w:sz="0" w:space="0" w:color="auto"/>
            <w:left w:val="none" w:sz="0" w:space="0" w:color="auto"/>
            <w:bottom w:val="none" w:sz="0" w:space="0" w:color="auto"/>
            <w:right w:val="none" w:sz="0" w:space="0" w:color="auto"/>
          </w:divBdr>
          <w:divsChild>
            <w:div w:id="1587611322">
              <w:marLeft w:val="0"/>
              <w:marRight w:val="0"/>
              <w:marTop w:val="0"/>
              <w:marBottom w:val="0"/>
              <w:divBdr>
                <w:top w:val="none" w:sz="0" w:space="0" w:color="auto"/>
                <w:left w:val="none" w:sz="0" w:space="0" w:color="auto"/>
                <w:bottom w:val="none" w:sz="0" w:space="0" w:color="auto"/>
                <w:right w:val="none" w:sz="0" w:space="0" w:color="auto"/>
              </w:divBdr>
              <w:divsChild>
                <w:div w:id="21087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3140">
      <w:bodyDiv w:val="1"/>
      <w:marLeft w:val="0"/>
      <w:marRight w:val="0"/>
      <w:marTop w:val="0"/>
      <w:marBottom w:val="0"/>
      <w:divBdr>
        <w:top w:val="none" w:sz="0" w:space="0" w:color="auto"/>
        <w:left w:val="none" w:sz="0" w:space="0" w:color="auto"/>
        <w:bottom w:val="none" w:sz="0" w:space="0" w:color="auto"/>
        <w:right w:val="none" w:sz="0" w:space="0" w:color="auto"/>
      </w:divBdr>
    </w:div>
    <w:div w:id="362487768">
      <w:bodyDiv w:val="1"/>
      <w:marLeft w:val="0"/>
      <w:marRight w:val="0"/>
      <w:marTop w:val="0"/>
      <w:marBottom w:val="0"/>
      <w:divBdr>
        <w:top w:val="none" w:sz="0" w:space="0" w:color="auto"/>
        <w:left w:val="none" w:sz="0" w:space="0" w:color="auto"/>
        <w:bottom w:val="none" w:sz="0" w:space="0" w:color="auto"/>
        <w:right w:val="none" w:sz="0" w:space="0" w:color="auto"/>
      </w:divBdr>
    </w:div>
    <w:div w:id="666400748">
      <w:bodyDiv w:val="1"/>
      <w:marLeft w:val="0"/>
      <w:marRight w:val="0"/>
      <w:marTop w:val="0"/>
      <w:marBottom w:val="0"/>
      <w:divBdr>
        <w:top w:val="none" w:sz="0" w:space="0" w:color="auto"/>
        <w:left w:val="none" w:sz="0" w:space="0" w:color="auto"/>
        <w:bottom w:val="none" w:sz="0" w:space="0" w:color="auto"/>
        <w:right w:val="none" w:sz="0" w:space="0" w:color="auto"/>
      </w:divBdr>
    </w:div>
    <w:div w:id="1032607556">
      <w:bodyDiv w:val="1"/>
      <w:marLeft w:val="0"/>
      <w:marRight w:val="0"/>
      <w:marTop w:val="0"/>
      <w:marBottom w:val="0"/>
      <w:divBdr>
        <w:top w:val="none" w:sz="0" w:space="0" w:color="auto"/>
        <w:left w:val="none" w:sz="0" w:space="0" w:color="auto"/>
        <w:bottom w:val="none" w:sz="0" w:space="0" w:color="auto"/>
        <w:right w:val="none" w:sz="0" w:space="0" w:color="auto"/>
      </w:divBdr>
    </w:div>
    <w:div w:id="1201939676">
      <w:bodyDiv w:val="1"/>
      <w:marLeft w:val="0"/>
      <w:marRight w:val="0"/>
      <w:marTop w:val="0"/>
      <w:marBottom w:val="0"/>
      <w:divBdr>
        <w:top w:val="none" w:sz="0" w:space="0" w:color="auto"/>
        <w:left w:val="none" w:sz="0" w:space="0" w:color="auto"/>
        <w:bottom w:val="none" w:sz="0" w:space="0" w:color="auto"/>
        <w:right w:val="none" w:sz="0" w:space="0" w:color="auto"/>
      </w:divBdr>
    </w:div>
    <w:div w:id="2041589697">
      <w:bodyDiv w:val="1"/>
      <w:marLeft w:val="0"/>
      <w:marRight w:val="0"/>
      <w:marTop w:val="0"/>
      <w:marBottom w:val="0"/>
      <w:divBdr>
        <w:top w:val="none" w:sz="0" w:space="0" w:color="auto"/>
        <w:left w:val="none" w:sz="0" w:space="0" w:color="auto"/>
        <w:bottom w:val="none" w:sz="0" w:space="0" w:color="auto"/>
        <w:right w:val="none" w:sz="0" w:space="0" w:color="auto"/>
      </w:divBdr>
    </w:div>
    <w:div w:id="213485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tps://citieswithnature.org/action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bd.int/doc/c/768c/a5ed/fca77cd8171e253852656ba5/sbi-03-l-16-en.pdf" TargetMode="Externa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c/8ddc/798e/f7c78b568b599e56217a207a/sbi-03-11-add6-en.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portals/action-agenda/" TargetMode="External"/><Relationship Id="rId1" Type="http://schemas.openxmlformats.org/officeDocument/2006/relationships/hyperlink" Target="https://www.cbd.int/cop/cop-14/annoucement/nature-action-agenda-egypt-to-china-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851184-4b28-4196-a3fe-31116a3345a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3" ma:contentTypeDescription="Crée un document." ma:contentTypeScope="" ma:versionID="bdfffa190670f6ccf51d97e41238991c">
  <xsd:schema xmlns:xsd="http://www.w3.org/2001/XMLSchema" xmlns:xs="http://www.w3.org/2001/XMLSchema" xmlns:p="http://schemas.microsoft.com/office/2006/metadata/properties" xmlns:ns2="a3d363c2-ac57-4088-9970-e55a9ff5228c" xmlns:ns3="41851184-4b28-4196-a3fe-31116a3345ac" targetNamespace="http://schemas.microsoft.com/office/2006/metadata/properties" ma:root="true" ma:fieldsID="dad7c235557fcc1d87acd5393a7f34c4" ns2:_="" ns3:_="">
    <xsd:import namespace="a3d363c2-ac57-4088-9970-e55a9ff5228c"/>
    <xsd:import namespace="41851184-4b28-4196-a3fe-31116a334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F9215-8269-4193-B322-1ACA80F6CD42}">
  <ds:schemaRefs>
    <ds:schemaRef ds:uri="http://schemas.microsoft.com/office/2006/metadata/properties"/>
    <ds:schemaRef ds:uri="http://schemas.microsoft.com/office/infopath/2007/PartnerControls"/>
    <ds:schemaRef ds:uri="41851184-4b28-4196-a3fe-31116a3345ac"/>
  </ds:schemaRefs>
</ds:datastoreItem>
</file>

<file path=customXml/itemProps2.xml><?xml version="1.0" encoding="utf-8"?>
<ds:datastoreItem xmlns:ds="http://schemas.openxmlformats.org/officeDocument/2006/customXml" ds:itemID="{F1A4FECE-A6B0-4BEE-86DF-D5F6263C47A9}">
  <ds:schemaRefs>
    <ds:schemaRef ds:uri="http://schemas.microsoft.com/sharepoint/v3/contenttype/forms"/>
  </ds:schemaRefs>
</ds:datastoreItem>
</file>

<file path=customXml/itemProps3.xml><?xml version="1.0" encoding="utf-8"?>
<ds:datastoreItem xmlns:ds="http://schemas.openxmlformats.org/officeDocument/2006/customXml" ds:itemID="{B7D63C57-3E56-4431-8798-DB4A2358AE2D}">
  <ds:schemaRefs>
    <ds:schemaRef ds:uri="http://schemas.openxmlformats.org/officeDocument/2006/bibliography"/>
  </ds:schemaRefs>
</ds:datastoreItem>
</file>

<file path=customXml/itemProps4.xml><?xml version="1.0" encoding="utf-8"?>
<ds:datastoreItem xmlns:ds="http://schemas.openxmlformats.org/officeDocument/2006/customXml" ds:itemID="{5F0E98BD-21DC-474D-ABBD-4A50528E2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363c2-ac57-4088-9970-e55a9ff5228c"/>
    <ds:schemaRef ds:uri="41851184-4b28-4196-a3fe-31116a334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2354</Words>
  <Characters>12947</Characters>
  <Application>Microsoft Office Word</Application>
  <DocSecurity>0</DocSecurity>
  <Lines>107</Lines>
  <Paragraphs>30</Paragraphs>
  <ScaleCrop>false</ScaleCrop>
  <Manager/>
  <Company/>
  <LinksUpToDate>false</LinksUpToDate>
  <CharactersWithSpaces>15271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2022-05-05T21:44:00Z</dcterms:created>
  <dcterms:modified xsi:type="dcterms:W3CDTF">2022-05-05T21:48:00Z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